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38" w:rsidRPr="00636702" w:rsidRDefault="00D77E7F" w:rsidP="00E63C95">
      <w:pPr>
        <w:tabs>
          <w:tab w:val="left" w:pos="3105"/>
        </w:tabs>
        <w:spacing w:after="0" w:line="240" w:lineRule="auto"/>
        <w:rPr>
          <w:rFonts w:ascii="Arial" w:hAnsi="Arial" w:cs="Arial"/>
          <w:b/>
        </w:rPr>
      </w:pPr>
      <w:bookmarkStart w:id="0" w:name="_GoBack"/>
      <w:bookmarkEnd w:id="0"/>
      <w:r w:rsidRPr="00636702">
        <w:rPr>
          <w:rFonts w:ascii="Arial" w:hAnsi="Arial" w:cs="Arial"/>
          <w:b/>
        </w:rPr>
        <w:t>PITC PHARMA, INC.</w:t>
      </w:r>
      <w:r>
        <w:rPr>
          <w:rFonts w:ascii="Arial" w:hAnsi="Arial" w:cs="Arial"/>
          <w:b/>
        </w:rPr>
        <w:tab/>
      </w:r>
    </w:p>
    <w:p w:rsidR="00500D84" w:rsidRPr="00636702" w:rsidRDefault="00D77E7F" w:rsidP="00E63C95">
      <w:pPr>
        <w:spacing w:after="0" w:line="240" w:lineRule="auto"/>
        <w:rPr>
          <w:rFonts w:ascii="Arial" w:hAnsi="Arial" w:cs="Arial"/>
          <w:b/>
        </w:rPr>
      </w:pPr>
      <w:r w:rsidRPr="00636702">
        <w:rPr>
          <w:rFonts w:ascii="Arial" w:hAnsi="Arial" w:cs="Arial"/>
          <w:b/>
        </w:rPr>
        <w:t>ANNUAL AUDIT REPORT FOR CY 2015</w:t>
      </w:r>
    </w:p>
    <w:p w:rsidR="00500D84" w:rsidRPr="00636702" w:rsidRDefault="00500D84" w:rsidP="00E63C95">
      <w:pPr>
        <w:spacing w:after="0" w:line="240" w:lineRule="auto"/>
        <w:rPr>
          <w:rFonts w:ascii="Arial" w:hAnsi="Arial" w:cs="Arial"/>
          <w:b/>
        </w:rPr>
      </w:pPr>
    </w:p>
    <w:p w:rsidR="00500D84" w:rsidRPr="00636702" w:rsidRDefault="00500D84" w:rsidP="00E63C95">
      <w:pPr>
        <w:spacing w:after="0" w:line="240" w:lineRule="auto"/>
        <w:rPr>
          <w:rFonts w:ascii="Arial" w:hAnsi="Arial" w:cs="Arial"/>
          <w:b/>
        </w:rPr>
      </w:pPr>
      <w:r w:rsidRPr="00636702">
        <w:rPr>
          <w:rFonts w:ascii="Arial" w:hAnsi="Arial" w:cs="Arial"/>
          <w:b/>
        </w:rPr>
        <w:t>EXECUTIVE SUMMARY</w:t>
      </w:r>
    </w:p>
    <w:p w:rsidR="00500D84" w:rsidRPr="00636702" w:rsidRDefault="00500D84" w:rsidP="00E63C95">
      <w:pPr>
        <w:spacing w:after="0" w:line="240" w:lineRule="auto"/>
        <w:rPr>
          <w:rFonts w:ascii="Arial" w:hAnsi="Arial" w:cs="Arial"/>
          <w:b/>
        </w:rPr>
      </w:pPr>
    </w:p>
    <w:p w:rsidR="00500D84" w:rsidRPr="00636702" w:rsidRDefault="00500D84" w:rsidP="00E63C95">
      <w:pPr>
        <w:spacing w:after="0" w:line="240" w:lineRule="auto"/>
        <w:rPr>
          <w:rFonts w:ascii="Arial" w:hAnsi="Arial" w:cs="Arial"/>
          <w:b/>
        </w:rPr>
      </w:pPr>
    </w:p>
    <w:p w:rsidR="00500D84" w:rsidRPr="00636702" w:rsidRDefault="00500D84" w:rsidP="00E63C95">
      <w:pPr>
        <w:spacing w:after="0" w:line="240" w:lineRule="auto"/>
        <w:rPr>
          <w:rFonts w:ascii="Arial" w:hAnsi="Arial" w:cs="Arial"/>
          <w:b/>
        </w:rPr>
      </w:pPr>
      <w:r w:rsidRPr="00636702">
        <w:rPr>
          <w:rFonts w:ascii="Arial" w:hAnsi="Arial" w:cs="Arial"/>
          <w:b/>
        </w:rPr>
        <w:t>Introduction</w:t>
      </w:r>
    </w:p>
    <w:p w:rsidR="00500D84" w:rsidRDefault="00500D84" w:rsidP="00E63C95">
      <w:pPr>
        <w:spacing w:after="0" w:line="240" w:lineRule="auto"/>
        <w:rPr>
          <w:rFonts w:ascii="Arial" w:hAnsi="Arial" w:cs="Arial"/>
        </w:rPr>
      </w:pPr>
    </w:p>
    <w:p w:rsidR="00FD177C" w:rsidRDefault="008A3015" w:rsidP="00E63C95">
      <w:pPr>
        <w:spacing w:after="0" w:line="240" w:lineRule="auto"/>
        <w:jc w:val="both"/>
        <w:rPr>
          <w:rFonts w:ascii="Arial" w:hAnsi="Arial" w:cs="Arial"/>
        </w:rPr>
      </w:pPr>
      <w:r>
        <w:rPr>
          <w:rFonts w:ascii="Arial" w:hAnsi="Arial" w:cs="Arial"/>
        </w:rPr>
        <w:t xml:space="preserve">PITC Pharma, Inc. (PPI) </w:t>
      </w:r>
      <w:r w:rsidR="00636702">
        <w:rPr>
          <w:rFonts w:ascii="Arial" w:hAnsi="Arial" w:cs="Arial"/>
        </w:rPr>
        <w:t xml:space="preserve">was initially incorporated in July 1981 as Producers Venture Capital Corporation (PVCC) with shared ownership by Prime Media Holdings, Inc. and </w:t>
      </w:r>
      <w:r>
        <w:rPr>
          <w:rFonts w:ascii="Arial" w:hAnsi="Arial" w:cs="Arial"/>
        </w:rPr>
        <w:t>N</w:t>
      </w:r>
      <w:r w:rsidR="00D77E7F">
        <w:rPr>
          <w:rFonts w:ascii="Arial" w:hAnsi="Arial" w:cs="Arial"/>
        </w:rPr>
        <w:t>a</w:t>
      </w:r>
      <w:r>
        <w:rPr>
          <w:rFonts w:ascii="Arial" w:hAnsi="Arial" w:cs="Arial"/>
        </w:rPr>
        <w:t>tional Development Company (</w:t>
      </w:r>
      <w:r w:rsidR="00636702">
        <w:rPr>
          <w:rFonts w:ascii="Arial" w:hAnsi="Arial" w:cs="Arial"/>
        </w:rPr>
        <w:t>NDC</w:t>
      </w:r>
      <w:r>
        <w:rPr>
          <w:rFonts w:ascii="Arial" w:hAnsi="Arial" w:cs="Arial"/>
        </w:rPr>
        <w:t>)</w:t>
      </w:r>
      <w:r w:rsidR="00636702">
        <w:rPr>
          <w:rFonts w:ascii="Arial" w:hAnsi="Arial" w:cs="Arial"/>
        </w:rPr>
        <w:t>.  In</w:t>
      </w:r>
      <w:r w:rsidR="00D77E7F">
        <w:rPr>
          <w:rFonts w:ascii="Arial" w:hAnsi="Arial" w:cs="Arial"/>
        </w:rPr>
        <w:t xml:space="preserve"> calendar year (CY)</w:t>
      </w:r>
      <w:r w:rsidR="00636702">
        <w:rPr>
          <w:rFonts w:ascii="Arial" w:hAnsi="Arial" w:cs="Arial"/>
        </w:rPr>
        <w:t xml:space="preserve"> 2005, PVCC became wholly owned by NDC</w:t>
      </w:r>
      <w:r w:rsidR="00FD177C">
        <w:rPr>
          <w:rFonts w:ascii="Arial" w:hAnsi="Arial" w:cs="Arial"/>
        </w:rPr>
        <w:t xml:space="preserve"> and in the same year, the corporate name of PVCC was changed to PITC Pharma, Inc. with the primary purpose of engaging in the business of research development, production, manufacture, packaging, sale</w:t>
      </w:r>
      <w:r>
        <w:rPr>
          <w:rFonts w:ascii="Arial" w:hAnsi="Arial" w:cs="Arial"/>
        </w:rPr>
        <w:t>/distribution of pharmaceutical products and/or investment in pharmaceuticals and related commercial ventures</w:t>
      </w:r>
      <w:r w:rsidR="00636702">
        <w:rPr>
          <w:rFonts w:ascii="Arial" w:hAnsi="Arial" w:cs="Arial"/>
        </w:rPr>
        <w:t xml:space="preserve">. </w:t>
      </w:r>
      <w:r>
        <w:rPr>
          <w:rFonts w:ascii="Arial" w:hAnsi="Arial" w:cs="Arial"/>
        </w:rPr>
        <w:t xml:space="preserve"> In CY 2006, t</w:t>
      </w:r>
      <w:r w:rsidR="00FD177C">
        <w:rPr>
          <w:rFonts w:ascii="Arial" w:hAnsi="Arial" w:cs="Arial"/>
        </w:rPr>
        <w:t xml:space="preserve">he authorized capital stock of PPI was increased from </w:t>
      </w:r>
      <w:r w:rsidR="00FD177C" w:rsidRPr="000851EB">
        <w:rPr>
          <w:rFonts w:ascii="Arial" w:hAnsi="Arial" w:cs="Arial"/>
          <w:dstrike/>
        </w:rPr>
        <w:t>P</w:t>
      </w:r>
      <w:r w:rsidR="00FD177C">
        <w:rPr>
          <w:rFonts w:ascii="Arial" w:hAnsi="Arial" w:cs="Arial"/>
        </w:rPr>
        <w:t xml:space="preserve">10 million to </w:t>
      </w:r>
      <w:r w:rsidR="00FD177C" w:rsidRPr="000851EB">
        <w:rPr>
          <w:rFonts w:ascii="Arial" w:hAnsi="Arial" w:cs="Arial"/>
          <w:dstrike/>
        </w:rPr>
        <w:t>P</w:t>
      </w:r>
      <w:r w:rsidR="00FD177C">
        <w:rPr>
          <w:rFonts w:ascii="Arial" w:hAnsi="Arial" w:cs="Arial"/>
        </w:rPr>
        <w:t xml:space="preserve">100 million, of which </w:t>
      </w:r>
      <w:r w:rsidR="00FD177C" w:rsidRPr="000851EB">
        <w:rPr>
          <w:rFonts w:ascii="Arial" w:hAnsi="Arial" w:cs="Arial"/>
          <w:dstrike/>
        </w:rPr>
        <w:t>P</w:t>
      </w:r>
      <w:r w:rsidR="00FD177C">
        <w:rPr>
          <w:rFonts w:ascii="Arial" w:hAnsi="Arial" w:cs="Arial"/>
        </w:rPr>
        <w:t xml:space="preserve">22.5 million and </w:t>
      </w:r>
      <w:r w:rsidR="00FD177C" w:rsidRPr="000851EB">
        <w:rPr>
          <w:rFonts w:ascii="Arial" w:hAnsi="Arial" w:cs="Arial"/>
          <w:dstrike/>
        </w:rPr>
        <w:t>P</w:t>
      </w:r>
      <w:r w:rsidR="00FD177C">
        <w:rPr>
          <w:rFonts w:ascii="Arial" w:hAnsi="Arial" w:cs="Arial"/>
        </w:rPr>
        <w:t xml:space="preserve">15 million was subscribed and fully paid by </w:t>
      </w:r>
      <w:r>
        <w:rPr>
          <w:rFonts w:ascii="Arial" w:hAnsi="Arial" w:cs="Arial"/>
        </w:rPr>
        <w:t>Philippine International Trading Corporation (</w:t>
      </w:r>
      <w:r w:rsidR="00FD177C">
        <w:rPr>
          <w:rFonts w:ascii="Arial" w:hAnsi="Arial" w:cs="Arial"/>
        </w:rPr>
        <w:t>PITC</w:t>
      </w:r>
      <w:r>
        <w:rPr>
          <w:rFonts w:ascii="Arial" w:hAnsi="Arial" w:cs="Arial"/>
        </w:rPr>
        <w:t>)</w:t>
      </w:r>
      <w:r w:rsidR="00FD177C">
        <w:rPr>
          <w:rFonts w:ascii="Arial" w:hAnsi="Arial" w:cs="Arial"/>
        </w:rPr>
        <w:t xml:space="preserve"> and NDC, respectively.</w:t>
      </w:r>
    </w:p>
    <w:p w:rsidR="008A3015" w:rsidRDefault="008A3015" w:rsidP="00E63C95">
      <w:pPr>
        <w:spacing w:after="0" w:line="240" w:lineRule="auto"/>
        <w:jc w:val="both"/>
        <w:rPr>
          <w:rFonts w:ascii="Arial" w:hAnsi="Arial" w:cs="Arial"/>
        </w:rPr>
      </w:pPr>
    </w:p>
    <w:p w:rsidR="008A3015" w:rsidRDefault="008A3015" w:rsidP="00E63C95">
      <w:pPr>
        <w:spacing w:after="0" w:line="240" w:lineRule="auto"/>
        <w:jc w:val="both"/>
        <w:rPr>
          <w:rFonts w:ascii="Arial" w:hAnsi="Arial" w:cs="Arial"/>
        </w:rPr>
      </w:pPr>
      <w:r>
        <w:rPr>
          <w:rFonts w:ascii="Arial" w:hAnsi="Arial" w:cs="Arial"/>
        </w:rPr>
        <w:t>With the issuance of Executive Order (EO) No. 442 dated July 4, 2005, PITC was designated as the lead coordinating agency to make quality medicines available, affordable and accessible to the greater masses of Filipinos.  PPI was then created to exclusively take the lead in implementing the government’s Half-Priced Medicines Program under EO 442.</w:t>
      </w:r>
    </w:p>
    <w:p w:rsidR="008A3015" w:rsidRDefault="008A3015" w:rsidP="00E63C95">
      <w:pPr>
        <w:spacing w:after="0" w:line="240" w:lineRule="auto"/>
        <w:jc w:val="both"/>
        <w:rPr>
          <w:rFonts w:ascii="Arial" w:hAnsi="Arial" w:cs="Arial"/>
        </w:rPr>
      </w:pPr>
    </w:p>
    <w:p w:rsidR="008A3015" w:rsidRDefault="008A3015" w:rsidP="00E63C95">
      <w:pPr>
        <w:spacing w:after="0" w:line="240" w:lineRule="auto"/>
        <w:jc w:val="both"/>
        <w:rPr>
          <w:rFonts w:ascii="Arial" w:hAnsi="Arial" w:cs="Arial"/>
        </w:rPr>
      </w:pPr>
      <w:r>
        <w:rPr>
          <w:rFonts w:ascii="Arial" w:hAnsi="Arial" w:cs="Arial"/>
        </w:rPr>
        <w:t>Effective November 2008, PPI was designated as the central procurement arm for all government agencies for the importation of drugs and medicines, except for specific programs and instances allowed by the Department of Health</w:t>
      </w:r>
      <w:r w:rsidR="00D77E7F">
        <w:rPr>
          <w:rFonts w:ascii="Arial" w:hAnsi="Arial" w:cs="Arial"/>
        </w:rPr>
        <w:t xml:space="preserve"> (DOH)</w:t>
      </w:r>
      <w:r>
        <w:rPr>
          <w:rFonts w:ascii="Arial" w:hAnsi="Arial" w:cs="Arial"/>
        </w:rPr>
        <w:t>, as mandated under Section 1, Rule 16, Chapter III of Republic Act</w:t>
      </w:r>
      <w:r w:rsidR="00D77E7F">
        <w:rPr>
          <w:rFonts w:ascii="Arial" w:hAnsi="Arial" w:cs="Arial"/>
        </w:rPr>
        <w:t xml:space="preserve"> (RA)</w:t>
      </w:r>
      <w:r>
        <w:rPr>
          <w:rFonts w:ascii="Arial" w:hAnsi="Arial" w:cs="Arial"/>
        </w:rPr>
        <w:t xml:space="preserve"> No. 9502, otherwise known as the Universally Accessible Cheaper and Quality Medicines Act of 2008.  </w:t>
      </w:r>
    </w:p>
    <w:p w:rsidR="009319E1" w:rsidRDefault="009319E1" w:rsidP="00E63C95">
      <w:pPr>
        <w:spacing w:after="0" w:line="240" w:lineRule="auto"/>
        <w:jc w:val="both"/>
        <w:rPr>
          <w:rFonts w:ascii="Arial" w:hAnsi="Arial" w:cs="Arial"/>
        </w:rPr>
      </w:pPr>
    </w:p>
    <w:p w:rsidR="009319E1" w:rsidRDefault="009319E1" w:rsidP="00E63C95">
      <w:pPr>
        <w:spacing w:after="0" w:line="240" w:lineRule="auto"/>
        <w:jc w:val="both"/>
        <w:rPr>
          <w:rFonts w:ascii="Arial" w:hAnsi="Arial" w:cs="Arial"/>
        </w:rPr>
      </w:pPr>
      <w:r>
        <w:rPr>
          <w:rFonts w:ascii="Arial" w:hAnsi="Arial" w:cs="Arial"/>
        </w:rPr>
        <w:t>As of December 31, 2015, PPI has a manpower complement of 49 regular and probationary employees.  Its principal officers are the following:</w:t>
      </w:r>
    </w:p>
    <w:p w:rsidR="009319E1" w:rsidRDefault="009319E1" w:rsidP="00E63C95">
      <w:pPr>
        <w:spacing w:after="0" w:line="240" w:lineRule="auto"/>
        <w:rPr>
          <w:rFonts w:ascii="Arial" w:hAnsi="Arial" w:cs="Arial"/>
        </w:rPr>
      </w:pPr>
    </w:p>
    <w:tbl>
      <w:tblPr>
        <w:tblStyle w:val="TableGrid"/>
        <w:tblW w:w="0" w:type="auto"/>
        <w:tblInd w:w="1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990"/>
        <w:gridCol w:w="3060"/>
      </w:tblGrid>
      <w:tr w:rsidR="009319E1" w:rsidTr="009319E1">
        <w:tc>
          <w:tcPr>
            <w:tcW w:w="2250" w:type="dxa"/>
            <w:tcBorders>
              <w:bottom w:val="single" w:sz="4" w:space="0" w:color="auto"/>
            </w:tcBorders>
          </w:tcPr>
          <w:p w:rsidR="009319E1" w:rsidRDefault="009319E1" w:rsidP="00E63C95">
            <w:pPr>
              <w:tabs>
                <w:tab w:val="right" w:pos="2856"/>
              </w:tabs>
              <w:jc w:val="center"/>
              <w:rPr>
                <w:rFonts w:ascii="Arial" w:hAnsi="Arial" w:cs="Arial"/>
              </w:rPr>
            </w:pPr>
            <w:r>
              <w:rPr>
                <w:rFonts w:ascii="Arial" w:hAnsi="Arial" w:cs="Arial"/>
              </w:rPr>
              <w:t>Name</w:t>
            </w:r>
          </w:p>
        </w:tc>
        <w:tc>
          <w:tcPr>
            <w:tcW w:w="990" w:type="dxa"/>
          </w:tcPr>
          <w:p w:rsidR="009319E1" w:rsidRDefault="009319E1" w:rsidP="00E63C95">
            <w:pPr>
              <w:jc w:val="center"/>
              <w:rPr>
                <w:rFonts w:ascii="Arial" w:hAnsi="Arial" w:cs="Arial"/>
              </w:rPr>
            </w:pPr>
          </w:p>
        </w:tc>
        <w:tc>
          <w:tcPr>
            <w:tcW w:w="3060" w:type="dxa"/>
            <w:tcBorders>
              <w:bottom w:val="single" w:sz="4" w:space="0" w:color="auto"/>
            </w:tcBorders>
          </w:tcPr>
          <w:p w:rsidR="009319E1" w:rsidRDefault="009319E1" w:rsidP="00E63C95">
            <w:pPr>
              <w:jc w:val="center"/>
              <w:rPr>
                <w:rFonts w:ascii="Arial" w:hAnsi="Arial" w:cs="Arial"/>
              </w:rPr>
            </w:pPr>
            <w:r>
              <w:rPr>
                <w:rFonts w:ascii="Arial" w:hAnsi="Arial" w:cs="Arial"/>
              </w:rPr>
              <w:t>Position / Designation</w:t>
            </w:r>
          </w:p>
        </w:tc>
      </w:tr>
      <w:tr w:rsidR="009319E1" w:rsidTr="009319E1">
        <w:trPr>
          <w:trHeight w:hRule="exact" w:val="346"/>
        </w:trPr>
        <w:tc>
          <w:tcPr>
            <w:tcW w:w="2250" w:type="dxa"/>
            <w:tcBorders>
              <w:top w:val="single" w:sz="4" w:space="0" w:color="auto"/>
            </w:tcBorders>
            <w:vAlign w:val="bottom"/>
          </w:tcPr>
          <w:p w:rsidR="009319E1" w:rsidRDefault="009319E1" w:rsidP="00E63C95">
            <w:pPr>
              <w:ind w:left="-108" w:right="-108"/>
              <w:rPr>
                <w:rFonts w:ascii="Arial" w:hAnsi="Arial" w:cs="Arial"/>
              </w:rPr>
            </w:pPr>
            <w:r>
              <w:rPr>
                <w:rFonts w:ascii="Arial" w:hAnsi="Arial" w:cs="Arial"/>
              </w:rPr>
              <w:t>Jose A. Capistrano, Jr.</w:t>
            </w:r>
          </w:p>
        </w:tc>
        <w:tc>
          <w:tcPr>
            <w:tcW w:w="990" w:type="dxa"/>
            <w:vAlign w:val="bottom"/>
          </w:tcPr>
          <w:p w:rsidR="009319E1" w:rsidRDefault="009319E1" w:rsidP="00E63C95">
            <w:pPr>
              <w:jc w:val="center"/>
              <w:rPr>
                <w:rFonts w:ascii="Arial" w:hAnsi="Arial" w:cs="Arial"/>
              </w:rPr>
            </w:pPr>
            <w:r>
              <w:rPr>
                <w:rFonts w:ascii="Arial" w:hAnsi="Arial" w:cs="Arial"/>
              </w:rPr>
              <w:t>-</w:t>
            </w:r>
          </w:p>
        </w:tc>
        <w:tc>
          <w:tcPr>
            <w:tcW w:w="3060" w:type="dxa"/>
            <w:tcBorders>
              <w:top w:val="single" w:sz="4" w:space="0" w:color="auto"/>
            </w:tcBorders>
            <w:vAlign w:val="bottom"/>
          </w:tcPr>
          <w:p w:rsidR="009319E1" w:rsidRDefault="009319E1" w:rsidP="00E63C95">
            <w:pPr>
              <w:ind w:left="-108"/>
              <w:rPr>
                <w:rFonts w:ascii="Arial" w:hAnsi="Arial" w:cs="Arial"/>
              </w:rPr>
            </w:pPr>
            <w:r>
              <w:rPr>
                <w:rFonts w:ascii="Arial" w:hAnsi="Arial" w:cs="Arial"/>
              </w:rPr>
              <w:t>President and CEO</w:t>
            </w:r>
          </w:p>
        </w:tc>
      </w:tr>
      <w:tr w:rsidR="009319E1" w:rsidTr="009319E1">
        <w:trPr>
          <w:trHeight w:hRule="exact" w:val="346"/>
        </w:trPr>
        <w:tc>
          <w:tcPr>
            <w:tcW w:w="2250" w:type="dxa"/>
            <w:vAlign w:val="bottom"/>
          </w:tcPr>
          <w:p w:rsidR="009319E1" w:rsidRDefault="009319E1" w:rsidP="00E63C95">
            <w:pPr>
              <w:ind w:left="-108" w:right="-108"/>
              <w:rPr>
                <w:rFonts w:ascii="Arial" w:hAnsi="Arial" w:cs="Arial"/>
              </w:rPr>
            </w:pPr>
            <w:r>
              <w:rPr>
                <w:rFonts w:ascii="Arial" w:hAnsi="Arial" w:cs="Arial"/>
              </w:rPr>
              <w:t>Joyce Anne N. Alimon</w:t>
            </w:r>
          </w:p>
        </w:tc>
        <w:tc>
          <w:tcPr>
            <w:tcW w:w="990" w:type="dxa"/>
            <w:vAlign w:val="bottom"/>
          </w:tcPr>
          <w:p w:rsidR="009319E1" w:rsidRDefault="009319E1" w:rsidP="00E63C95">
            <w:pPr>
              <w:jc w:val="center"/>
              <w:rPr>
                <w:rFonts w:ascii="Arial" w:hAnsi="Arial" w:cs="Arial"/>
              </w:rPr>
            </w:pPr>
            <w:r>
              <w:rPr>
                <w:rFonts w:ascii="Arial" w:hAnsi="Arial" w:cs="Arial"/>
              </w:rPr>
              <w:t>-</w:t>
            </w:r>
          </w:p>
        </w:tc>
        <w:tc>
          <w:tcPr>
            <w:tcW w:w="3060" w:type="dxa"/>
            <w:vAlign w:val="bottom"/>
          </w:tcPr>
          <w:p w:rsidR="009319E1" w:rsidRDefault="009319E1" w:rsidP="00E63C95">
            <w:pPr>
              <w:ind w:left="-108" w:right="-108"/>
              <w:rPr>
                <w:rFonts w:ascii="Arial" w:hAnsi="Arial" w:cs="Arial"/>
              </w:rPr>
            </w:pPr>
            <w:r>
              <w:rPr>
                <w:rFonts w:ascii="Arial" w:hAnsi="Arial" w:cs="Arial"/>
              </w:rPr>
              <w:t>OIC Vice President for Finance</w:t>
            </w:r>
          </w:p>
        </w:tc>
      </w:tr>
      <w:tr w:rsidR="009319E1" w:rsidTr="009319E1">
        <w:trPr>
          <w:trHeight w:hRule="exact" w:val="346"/>
        </w:trPr>
        <w:tc>
          <w:tcPr>
            <w:tcW w:w="2250" w:type="dxa"/>
            <w:vAlign w:val="bottom"/>
          </w:tcPr>
          <w:p w:rsidR="009319E1" w:rsidRDefault="009319E1" w:rsidP="00E63C95">
            <w:pPr>
              <w:ind w:left="-108" w:right="-108"/>
              <w:rPr>
                <w:rFonts w:ascii="Arial" w:hAnsi="Arial" w:cs="Arial"/>
              </w:rPr>
            </w:pPr>
            <w:r>
              <w:rPr>
                <w:rFonts w:ascii="Arial" w:hAnsi="Arial" w:cs="Arial"/>
              </w:rPr>
              <w:t>Jose A. Cortez</w:t>
            </w:r>
          </w:p>
        </w:tc>
        <w:tc>
          <w:tcPr>
            <w:tcW w:w="990" w:type="dxa"/>
            <w:vAlign w:val="bottom"/>
          </w:tcPr>
          <w:p w:rsidR="009319E1" w:rsidRDefault="009319E1" w:rsidP="00E63C95">
            <w:pPr>
              <w:jc w:val="center"/>
              <w:rPr>
                <w:rFonts w:ascii="Arial" w:hAnsi="Arial" w:cs="Arial"/>
              </w:rPr>
            </w:pPr>
            <w:r>
              <w:rPr>
                <w:rFonts w:ascii="Arial" w:hAnsi="Arial" w:cs="Arial"/>
              </w:rPr>
              <w:t>-</w:t>
            </w:r>
          </w:p>
        </w:tc>
        <w:tc>
          <w:tcPr>
            <w:tcW w:w="3060" w:type="dxa"/>
            <w:vAlign w:val="bottom"/>
          </w:tcPr>
          <w:p w:rsidR="009319E1" w:rsidRDefault="009319E1" w:rsidP="00E63C95">
            <w:pPr>
              <w:ind w:left="-108"/>
              <w:rPr>
                <w:rFonts w:ascii="Arial" w:hAnsi="Arial" w:cs="Arial"/>
              </w:rPr>
            </w:pPr>
            <w:r>
              <w:rPr>
                <w:rFonts w:ascii="Arial" w:hAnsi="Arial" w:cs="Arial"/>
              </w:rPr>
              <w:t>Vice President for Sales</w:t>
            </w:r>
          </w:p>
        </w:tc>
      </w:tr>
    </w:tbl>
    <w:p w:rsidR="009319E1" w:rsidRDefault="009319E1" w:rsidP="00E63C95">
      <w:pPr>
        <w:spacing w:after="0" w:line="240" w:lineRule="auto"/>
        <w:rPr>
          <w:rFonts w:ascii="Arial" w:hAnsi="Arial" w:cs="Arial"/>
        </w:rPr>
      </w:pPr>
    </w:p>
    <w:p w:rsidR="00500D84" w:rsidRDefault="009319E1" w:rsidP="00E63C95">
      <w:pPr>
        <w:spacing w:after="0" w:line="240" w:lineRule="auto"/>
        <w:jc w:val="both"/>
        <w:rPr>
          <w:rFonts w:ascii="Arial" w:hAnsi="Arial" w:cs="Arial"/>
        </w:rPr>
      </w:pPr>
      <w:r>
        <w:rPr>
          <w:rFonts w:ascii="Arial" w:hAnsi="Arial" w:cs="Arial"/>
        </w:rPr>
        <w:t>The audit covered the accounts and ope</w:t>
      </w:r>
      <w:r w:rsidR="00D77E7F">
        <w:rPr>
          <w:rFonts w:ascii="Arial" w:hAnsi="Arial" w:cs="Arial"/>
        </w:rPr>
        <w:t>rations of PPI for CY</w:t>
      </w:r>
      <w:r>
        <w:rPr>
          <w:rFonts w:ascii="Arial" w:hAnsi="Arial" w:cs="Arial"/>
        </w:rPr>
        <w:t xml:space="preserve"> 2015.  It aimed to ascertain the fairness of the presentation of the financial statements.  Our audit was also made to assess the propriety of the financial transactions and compliance of PPI with applicable laws, rules and regulations.</w:t>
      </w:r>
    </w:p>
    <w:p w:rsidR="008A3015" w:rsidRDefault="008A3015" w:rsidP="00E63C95">
      <w:pPr>
        <w:spacing w:after="0" w:line="240" w:lineRule="auto"/>
        <w:jc w:val="both"/>
        <w:rPr>
          <w:rFonts w:ascii="Arial" w:hAnsi="Arial" w:cs="Arial"/>
        </w:rPr>
      </w:pPr>
    </w:p>
    <w:p w:rsidR="00E63C95" w:rsidRDefault="00E63C95" w:rsidP="00E63C95">
      <w:pPr>
        <w:spacing w:after="0" w:line="240" w:lineRule="auto"/>
        <w:jc w:val="both"/>
        <w:rPr>
          <w:rFonts w:ascii="Arial" w:hAnsi="Arial" w:cs="Arial"/>
        </w:rPr>
      </w:pPr>
    </w:p>
    <w:p w:rsidR="00E63C95" w:rsidRDefault="00E63C95" w:rsidP="00E63C95">
      <w:pPr>
        <w:spacing w:after="0" w:line="240" w:lineRule="auto"/>
        <w:jc w:val="both"/>
        <w:rPr>
          <w:rFonts w:ascii="Arial" w:hAnsi="Arial" w:cs="Arial"/>
        </w:rPr>
      </w:pPr>
    </w:p>
    <w:p w:rsidR="00E63C95" w:rsidRDefault="00E63C95" w:rsidP="00E63C95">
      <w:pPr>
        <w:spacing w:after="0" w:line="240" w:lineRule="auto"/>
        <w:jc w:val="both"/>
        <w:rPr>
          <w:rFonts w:ascii="Arial" w:hAnsi="Arial" w:cs="Arial"/>
        </w:rPr>
      </w:pPr>
    </w:p>
    <w:p w:rsidR="00E63C95" w:rsidRDefault="00E63C95" w:rsidP="00E63C95">
      <w:pPr>
        <w:spacing w:after="0" w:line="240" w:lineRule="auto"/>
        <w:jc w:val="both"/>
        <w:rPr>
          <w:rFonts w:ascii="Arial" w:hAnsi="Arial" w:cs="Arial"/>
        </w:rPr>
      </w:pPr>
    </w:p>
    <w:p w:rsidR="00E63C95" w:rsidRDefault="00E63C95" w:rsidP="00E63C95">
      <w:pPr>
        <w:spacing w:after="0" w:line="240" w:lineRule="auto"/>
        <w:jc w:val="both"/>
        <w:rPr>
          <w:rFonts w:ascii="Arial" w:hAnsi="Arial" w:cs="Arial"/>
        </w:rPr>
      </w:pPr>
    </w:p>
    <w:p w:rsidR="00E63C95" w:rsidRDefault="00E63C95" w:rsidP="00E63C95">
      <w:pPr>
        <w:spacing w:after="0" w:line="240" w:lineRule="auto"/>
        <w:jc w:val="both"/>
        <w:rPr>
          <w:rFonts w:ascii="Arial" w:hAnsi="Arial" w:cs="Arial"/>
        </w:rPr>
      </w:pPr>
    </w:p>
    <w:p w:rsidR="00E63C95" w:rsidRDefault="00E63C95" w:rsidP="00E63C95">
      <w:pPr>
        <w:spacing w:after="0" w:line="240" w:lineRule="auto"/>
        <w:jc w:val="both"/>
        <w:rPr>
          <w:rFonts w:ascii="Arial" w:hAnsi="Arial" w:cs="Arial"/>
        </w:rPr>
      </w:pPr>
    </w:p>
    <w:p w:rsidR="009319E1" w:rsidRPr="008430D6" w:rsidRDefault="009319E1" w:rsidP="00E63C95">
      <w:pPr>
        <w:spacing w:after="0" w:line="240" w:lineRule="auto"/>
        <w:jc w:val="both"/>
        <w:rPr>
          <w:rFonts w:ascii="Arial" w:hAnsi="Arial" w:cs="Arial"/>
          <w:b/>
        </w:rPr>
      </w:pPr>
      <w:r w:rsidRPr="008430D6">
        <w:rPr>
          <w:rFonts w:ascii="Arial" w:hAnsi="Arial" w:cs="Arial"/>
          <w:b/>
        </w:rPr>
        <w:lastRenderedPageBreak/>
        <w:t>Financial Highlights</w:t>
      </w:r>
    </w:p>
    <w:p w:rsidR="009319E1" w:rsidRDefault="009319E1" w:rsidP="00E63C95">
      <w:pPr>
        <w:spacing w:after="0" w:line="240" w:lineRule="auto"/>
        <w:jc w:val="both"/>
        <w:rPr>
          <w:rFonts w:ascii="Arial" w:hAnsi="Arial" w:cs="Arial"/>
        </w:rPr>
      </w:pPr>
    </w:p>
    <w:p w:rsidR="008430D6" w:rsidRDefault="008430D6" w:rsidP="00E63C95">
      <w:pPr>
        <w:spacing w:after="0" w:line="240" w:lineRule="auto"/>
        <w:jc w:val="both"/>
        <w:rPr>
          <w:rFonts w:ascii="Arial" w:hAnsi="Arial" w:cs="Arial"/>
        </w:rPr>
      </w:pPr>
      <w:r>
        <w:rPr>
          <w:rFonts w:ascii="Arial" w:hAnsi="Arial" w:cs="Arial"/>
        </w:rPr>
        <w:t>PPI’s financial condition and results of operations (in Philippine peso) are presented below:</w:t>
      </w:r>
    </w:p>
    <w:p w:rsidR="00E63C95" w:rsidRDefault="00E63C95" w:rsidP="00E63C95">
      <w:pPr>
        <w:spacing w:after="0" w:line="240" w:lineRule="auto"/>
        <w:jc w:val="both"/>
        <w:rPr>
          <w:rFonts w:ascii="Arial" w:hAnsi="Arial" w:cs="Arial"/>
        </w:rPr>
      </w:pPr>
    </w:p>
    <w:tbl>
      <w:tblPr>
        <w:tblW w:w="86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40"/>
        <w:gridCol w:w="450"/>
        <w:gridCol w:w="1530"/>
        <w:gridCol w:w="540"/>
        <w:gridCol w:w="1440"/>
      </w:tblGrid>
      <w:tr w:rsidR="008430D6" w:rsidRPr="000C51AC" w:rsidTr="00D77E7F">
        <w:trPr>
          <w:cantSplit/>
          <w:trHeight w:hRule="exact" w:val="533"/>
        </w:trPr>
        <w:tc>
          <w:tcPr>
            <w:tcW w:w="3240" w:type="dxa"/>
            <w:vAlign w:val="bottom"/>
          </w:tcPr>
          <w:p w:rsidR="008430D6" w:rsidRPr="00A346E5" w:rsidRDefault="008430D6" w:rsidP="00F354F0">
            <w:pPr>
              <w:jc w:val="center"/>
              <w:rPr>
                <w:rFonts w:ascii="Arial" w:hAnsi="Arial" w:cs="Arial"/>
                <w:i/>
              </w:rPr>
            </w:pPr>
          </w:p>
        </w:tc>
        <w:tc>
          <w:tcPr>
            <w:tcW w:w="1440" w:type="dxa"/>
            <w:vAlign w:val="center"/>
          </w:tcPr>
          <w:p w:rsidR="008430D6" w:rsidRPr="00A346E5" w:rsidRDefault="008430D6" w:rsidP="00D77E7F">
            <w:pPr>
              <w:spacing w:after="0" w:line="240" w:lineRule="auto"/>
              <w:jc w:val="center"/>
              <w:rPr>
                <w:rFonts w:ascii="Arial" w:hAnsi="Arial" w:cs="Arial"/>
              </w:rPr>
            </w:pPr>
            <w:r w:rsidRPr="00A346E5">
              <w:rPr>
                <w:rFonts w:ascii="Arial" w:hAnsi="Arial" w:cs="Arial"/>
              </w:rPr>
              <w:t>201</w:t>
            </w:r>
            <w:r>
              <w:rPr>
                <w:rFonts w:ascii="Arial" w:hAnsi="Arial" w:cs="Arial"/>
              </w:rPr>
              <w:t>5</w:t>
            </w:r>
          </w:p>
        </w:tc>
        <w:tc>
          <w:tcPr>
            <w:tcW w:w="450" w:type="dxa"/>
            <w:vAlign w:val="center"/>
          </w:tcPr>
          <w:p w:rsidR="008430D6" w:rsidRPr="00A346E5" w:rsidRDefault="008430D6" w:rsidP="00D77E7F">
            <w:pPr>
              <w:spacing w:after="0" w:line="240" w:lineRule="auto"/>
              <w:jc w:val="center"/>
              <w:rPr>
                <w:rFonts w:ascii="Arial" w:hAnsi="Arial" w:cs="Arial"/>
              </w:rPr>
            </w:pPr>
          </w:p>
        </w:tc>
        <w:tc>
          <w:tcPr>
            <w:tcW w:w="1530" w:type="dxa"/>
            <w:vAlign w:val="center"/>
          </w:tcPr>
          <w:p w:rsidR="00000FE8" w:rsidRDefault="008430D6" w:rsidP="00D77E7F">
            <w:pPr>
              <w:spacing w:after="0" w:line="240" w:lineRule="auto"/>
              <w:jc w:val="center"/>
              <w:rPr>
                <w:rFonts w:ascii="Arial" w:hAnsi="Arial" w:cs="Arial"/>
              </w:rPr>
            </w:pPr>
            <w:r w:rsidRPr="00A346E5">
              <w:rPr>
                <w:rFonts w:ascii="Arial" w:hAnsi="Arial" w:cs="Arial"/>
              </w:rPr>
              <w:t>201</w:t>
            </w:r>
            <w:r w:rsidR="00D77E7F">
              <w:rPr>
                <w:rFonts w:ascii="Arial" w:hAnsi="Arial" w:cs="Arial"/>
              </w:rPr>
              <w:t>4</w:t>
            </w:r>
          </w:p>
          <w:p w:rsidR="00D77E7F" w:rsidRPr="00A346E5" w:rsidRDefault="00D77E7F" w:rsidP="00D77E7F">
            <w:pPr>
              <w:spacing w:after="0" w:line="240" w:lineRule="auto"/>
              <w:ind w:left="-108" w:right="-108"/>
              <w:jc w:val="center"/>
              <w:rPr>
                <w:rFonts w:ascii="Arial" w:hAnsi="Arial" w:cs="Arial"/>
              </w:rPr>
            </w:pPr>
            <w:r>
              <w:rPr>
                <w:rFonts w:ascii="Arial" w:hAnsi="Arial" w:cs="Arial"/>
              </w:rPr>
              <w:t>(</w:t>
            </w:r>
            <w:r w:rsidR="00174A84">
              <w:rPr>
                <w:rFonts w:ascii="Arial" w:hAnsi="Arial" w:cs="Arial"/>
              </w:rPr>
              <w:t>a</w:t>
            </w:r>
            <w:r>
              <w:rPr>
                <w:rFonts w:ascii="Arial" w:hAnsi="Arial" w:cs="Arial"/>
              </w:rPr>
              <w:t xml:space="preserve">s </w:t>
            </w:r>
            <w:r w:rsidR="00174A84">
              <w:rPr>
                <w:rFonts w:ascii="Arial" w:hAnsi="Arial" w:cs="Arial"/>
              </w:rPr>
              <w:t>r</w:t>
            </w:r>
            <w:r>
              <w:rPr>
                <w:rFonts w:ascii="Arial" w:hAnsi="Arial" w:cs="Arial"/>
              </w:rPr>
              <w:t>estated)</w:t>
            </w:r>
          </w:p>
        </w:tc>
        <w:tc>
          <w:tcPr>
            <w:tcW w:w="540" w:type="dxa"/>
            <w:vAlign w:val="center"/>
          </w:tcPr>
          <w:p w:rsidR="008430D6" w:rsidRPr="00A346E5" w:rsidRDefault="008430D6" w:rsidP="00D77E7F">
            <w:pPr>
              <w:jc w:val="center"/>
              <w:rPr>
                <w:rFonts w:ascii="Arial" w:hAnsi="Arial" w:cs="Arial"/>
              </w:rPr>
            </w:pPr>
          </w:p>
        </w:tc>
        <w:tc>
          <w:tcPr>
            <w:tcW w:w="1440" w:type="dxa"/>
            <w:vAlign w:val="center"/>
          </w:tcPr>
          <w:p w:rsidR="008430D6" w:rsidRPr="00A346E5" w:rsidRDefault="008430D6" w:rsidP="00D77E7F">
            <w:pPr>
              <w:jc w:val="center"/>
              <w:rPr>
                <w:rFonts w:ascii="Arial" w:hAnsi="Arial" w:cs="Arial"/>
              </w:rPr>
            </w:pPr>
            <w:r w:rsidRPr="00A346E5">
              <w:rPr>
                <w:rFonts w:ascii="Arial" w:hAnsi="Arial" w:cs="Arial"/>
              </w:rPr>
              <w:t>Increase (Decrease)</w:t>
            </w:r>
          </w:p>
        </w:tc>
      </w:tr>
      <w:tr w:rsidR="008430D6" w:rsidRPr="000C51AC" w:rsidTr="00D77E7F">
        <w:tc>
          <w:tcPr>
            <w:tcW w:w="3240" w:type="dxa"/>
          </w:tcPr>
          <w:p w:rsidR="008430D6" w:rsidRPr="00A346E5" w:rsidRDefault="008430D6" w:rsidP="00F354F0">
            <w:pPr>
              <w:jc w:val="both"/>
              <w:rPr>
                <w:rFonts w:ascii="Arial" w:hAnsi="Arial" w:cs="Arial"/>
              </w:rPr>
            </w:pPr>
            <w:r w:rsidRPr="00A346E5">
              <w:rPr>
                <w:rFonts w:ascii="Arial" w:hAnsi="Arial" w:cs="Arial"/>
                <w:i/>
              </w:rPr>
              <w:t>Financial Condition</w:t>
            </w:r>
          </w:p>
        </w:tc>
        <w:tc>
          <w:tcPr>
            <w:tcW w:w="1440" w:type="dxa"/>
            <w:vAlign w:val="bottom"/>
          </w:tcPr>
          <w:p w:rsidR="008430D6" w:rsidRPr="00A346E5" w:rsidRDefault="008430D6" w:rsidP="00F354F0">
            <w:pPr>
              <w:rPr>
                <w:rFonts w:ascii="Arial" w:hAnsi="Arial" w:cs="Arial"/>
              </w:rPr>
            </w:pPr>
          </w:p>
        </w:tc>
        <w:tc>
          <w:tcPr>
            <w:tcW w:w="450" w:type="dxa"/>
          </w:tcPr>
          <w:p w:rsidR="008430D6" w:rsidRPr="00A346E5" w:rsidRDefault="008430D6" w:rsidP="00F354F0">
            <w:pPr>
              <w:rPr>
                <w:rFonts w:ascii="Arial" w:hAnsi="Arial" w:cs="Arial"/>
              </w:rPr>
            </w:pPr>
          </w:p>
        </w:tc>
        <w:tc>
          <w:tcPr>
            <w:tcW w:w="1530" w:type="dxa"/>
          </w:tcPr>
          <w:p w:rsidR="008430D6" w:rsidRPr="00A346E5" w:rsidRDefault="008430D6" w:rsidP="00F354F0">
            <w:pPr>
              <w:rPr>
                <w:rFonts w:ascii="Arial" w:hAnsi="Arial" w:cs="Arial"/>
              </w:rPr>
            </w:pPr>
          </w:p>
        </w:tc>
        <w:tc>
          <w:tcPr>
            <w:tcW w:w="540" w:type="dxa"/>
          </w:tcPr>
          <w:p w:rsidR="008430D6" w:rsidRPr="00A346E5" w:rsidRDefault="008430D6" w:rsidP="00F354F0">
            <w:pPr>
              <w:rPr>
                <w:rFonts w:ascii="Arial" w:hAnsi="Arial" w:cs="Arial"/>
              </w:rPr>
            </w:pPr>
          </w:p>
        </w:tc>
        <w:tc>
          <w:tcPr>
            <w:tcW w:w="1440" w:type="dxa"/>
          </w:tcPr>
          <w:p w:rsidR="008430D6" w:rsidRPr="00A346E5" w:rsidRDefault="008430D6" w:rsidP="00F354F0">
            <w:pPr>
              <w:rPr>
                <w:rFonts w:ascii="Arial" w:hAnsi="Arial" w:cs="Arial"/>
              </w:rPr>
            </w:pPr>
          </w:p>
        </w:tc>
      </w:tr>
      <w:tr w:rsidR="008430D6" w:rsidRPr="000C51AC" w:rsidTr="00D77E7F">
        <w:trPr>
          <w:trHeight w:hRule="exact" w:val="317"/>
        </w:trPr>
        <w:tc>
          <w:tcPr>
            <w:tcW w:w="3240" w:type="dxa"/>
            <w:vAlign w:val="bottom"/>
          </w:tcPr>
          <w:p w:rsidR="008430D6" w:rsidRPr="00A346E5" w:rsidRDefault="008430D6" w:rsidP="00F354F0">
            <w:pPr>
              <w:jc w:val="both"/>
              <w:rPr>
                <w:rFonts w:ascii="Arial" w:hAnsi="Arial" w:cs="Arial"/>
              </w:rPr>
            </w:pPr>
            <w:r w:rsidRPr="00A346E5">
              <w:rPr>
                <w:rFonts w:ascii="Arial" w:hAnsi="Arial" w:cs="Arial"/>
              </w:rPr>
              <w:t xml:space="preserve">     Total Assets</w:t>
            </w:r>
          </w:p>
        </w:tc>
        <w:tc>
          <w:tcPr>
            <w:tcW w:w="1440" w:type="dxa"/>
            <w:vAlign w:val="bottom"/>
          </w:tcPr>
          <w:p w:rsidR="008430D6" w:rsidRPr="00A346E5" w:rsidRDefault="008430D6" w:rsidP="00F354F0">
            <w:pPr>
              <w:jc w:val="right"/>
              <w:rPr>
                <w:rFonts w:ascii="Arial" w:hAnsi="Arial" w:cs="Arial"/>
              </w:rPr>
            </w:pPr>
            <w:r>
              <w:rPr>
                <w:rFonts w:ascii="Arial" w:hAnsi="Arial" w:cs="Arial"/>
              </w:rPr>
              <w:t>410,291,54</w:t>
            </w:r>
            <w:r w:rsidR="00E63C95">
              <w:rPr>
                <w:rFonts w:ascii="Arial" w:hAnsi="Arial" w:cs="Arial"/>
              </w:rPr>
              <w:t>7</w:t>
            </w:r>
          </w:p>
        </w:tc>
        <w:tc>
          <w:tcPr>
            <w:tcW w:w="450" w:type="dxa"/>
          </w:tcPr>
          <w:p w:rsidR="008430D6" w:rsidRPr="00A346E5" w:rsidRDefault="008430D6" w:rsidP="00F354F0">
            <w:pPr>
              <w:jc w:val="right"/>
              <w:rPr>
                <w:rFonts w:ascii="Arial" w:hAnsi="Arial" w:cs="Arial"/>
              </w:rPr>
            </w:pPr>
          </w:p>
        </w:tc>
        <w:tc>
          <w:tcPr>
            <w:tcW w:w="1530" w:type="dxa"/>
            <w:vAlign w:val="bottom"/>
          </w:tcPr>
          <w:p w:rsidR="008430D6" w:rsidRPr="00A346E5" w:rsidRDefault="008430D6" w:rsidP="007F2D91">
            <w:pPr>
              <w:jc w:val="right"/>
              <w:rPr>
                <w:rFonts w:ascii="Arial" w:hAnsi="Arial" w:cs="Arial"/>
              </w:rPr>
            </w:pPr>
            <w:r w:rsidRPr="00A346E5">
              <w:rPr>
                <w:rFonts w:ascii="Arial" w:hAnsi="Arial" w:cs="Arial"/>
              </w:rPr>
              <w:t>2</w:t>
            </w:r>
            <w:r>
              <w:rPr>
                <w:rFonts w:ascii="Arial" w:hAnsi="Arial" w:cs="Arial"/>
              </w:rPr>
              <w:t>9</w:t>
            </w:r>
            <w:r w:rsidR="007F2D91">
              <w:rPr>
                <w:rFonts w:ascii="Arial" w:hAnsi="Arial" w:cs="Arial"/>
              </w:rPr>
              <w:t>3,568,412</w:t>
            </w:r>
          </w:p>
        </w:tc>
        <w:tc>
          <w:tcPr>
            <w:tcW w:w="540" w:type="dxa"/>
          </w:tcPr>
          <w:p w:rsidR="008430D6" w:rsidRPr="00A346E5" w:rsidRDefault="008430D6" w:rsidP="00F354F0">
            <w:pPr>
              <w:jc w:val="right"/>
              <w:rPr>
                <w:rFonts w:ascii="Arial" w:hAnsi="Arial" w:cs="Arial"/>
              </w:rPr>
            </w:pPr>
          </w:p>
        </w:tc>
        <w:tc>
          <w:tcPr>
            <w:tcW w:w="1440" w:type="dxa"/>
            <w:vAlign w:val="bottom"/>
          </w:tcPr>
          <w:p w:rsidR="008430D6" w:rsidRPr="00A346E5" w:rsidRDefault="008430D6" w:rsidP="002D0B04">
            <w:pPr>
              <w:jc w:val="right"/>
              <w:rPr>
                <w:rFonts w:ascii="Arial" w:hAnsi="Arial" w:cs="Arial"/>
              </w:rPr>
            </w:pPr>
            <w:r>
              <w:rPr>
                <w:rFonts w:ascii="Arial" w:hAnsi="Arial" w:cs="Arial"/>
              </w:rPr>
              <w:t>1</w:t>
            </w:r>
            <w:r w:rsidR="007F2D91">
              <w:rPr>
                <w:rFonts w:ascii="Arial" w:hAnsi="Arial" w:cs="Arial"/>
              </w:rPr>
              <w:t>16,</w:t>
            </w:r>
            <w:r w:rsidR="002D0B04">
              <w:rPr>
                <w:rFonts w:ascii="Arial" w:hAnsi="Arial" w:cs="Arial"/>
              </w:rPr>
              <w:t>7</w:t>
            </w:r>
            <w:r w:rsidR="007F2D91">
              <w:rPr>
                <w:rFonts w:ascii="Arial" w:hAnsi="Arial" w:cs="Arial"/>
              </w:rPr>
              <w:t>23,13</w:t>
            </w:r>
            <w:r w:rsidR="00E63C95">
              <w:rPr>
                <w:rFonts w:ascii="Arial" w:hAnsi="Arial" w:cs="Arial"/>
              </w:rPr>
              <w:t>5</w:t>
            </w:r>
          </w:p>
        </w:tc>
      </w:tr>
      <w:tr w:rsidR="008430D6" w:rsidRPr="000C51AC" w:rsidTr="00D77E7F">
        <w:trPr>
          <w:trHeight w:hRule="exact" w:val="317"/>
        </w:trPr>
        <w:tc>
          <w:tcPr>
            <w:tcW w:w="3240" w:type="dxa"/>
            <w:vAlign w:val="bottom"/>
          </w:tcPr>
          <w:p w:rsidR="008430D6" w:rsidRPr="00A346E5" w:rsidRDefault="008430D6" w:rsidP="00F354F0">
            <w:pPr>
              <w:jc w:val="both"/>
              <w:rPr>
                <w:rFonts w:ascii="Arial" w:hAnsi="Arial" w:cs="Arial"/>
              </w:rPr>
            </w:pPr>
            <w:r w:rsidRPr="00A346E5">
              <w:rPr>
                <w:rFonts w:ascii="Arial" w:hAnsi="Arial" w:cs="Arial"/>
              </w:rPr>
              <w:t xml:space="preserve">     Total Liabilities</w:t>
            </w:r>
          </w:p>
        </w:tc>
        <w:tc>
          <w:tcPr>
            <w:tcW w:w="1440" w:type="dxa"/>
            <w:vAlign w:val="bottom"/>
          </w:tcPr>
          <w:p w:rsidR="008430D6" w:rsidRPr="00A346E5" w:rsidRDefault="008430D6" w:rsidP="00F354F0">
            <w:pPr>
              <w:jc w:val="right"/>
              <w:rPr>
                <w:rFonts w:ascii="Arial" w:hAnsi="Arial" w:cs="Arial"/>
              </w:rPr>
            </w:pPr>
            <w:r>
              <w:rPr>
                <w:rFonts w:ascii="Arial" w:hAnsi="Arial" w:cs="Arial"/>
              </w:rPr>
              <w:t>723,106,03</w:t>
            </w:r>
            <w:r w:rsidR="00E63C95">
              <w:rPr>
                <w:rFonts w:ascii="Arial" w:hAnsi="Arial" w:cs="Arial"/>
              </w:rPr>
              <w:t>6</w:t>
            </w:r>
          </w:p>
        </w:tc>
        <w:tc>
          <w:tcPr>
            <w:tcW w:w="450" w:type="dxa"/>
          </w:tcPr>
          <w:p w:rsidR="008430D6" w:rsidRPr="00A346E5" w:rsidRDefault="008430D6" w:rsidP="00F354F0">
            <w:pPr>
              <w:jc w:val="right"/>
              <w:rPr>
                <w:rFonts w:ascii="Arial" w:hAnsi="Arial" w:cs="Arial"/>
              </w:rPr>
            </w:pPr>
          </w:p>
        </w:tc>
        <w:tc>
          <w:tcPr>
            <w:tcW w:w="1530" w:type="dxa"/>
            <w:vAlign w:val="bottom"/>
          </w:tcPr>
          <w:p w:rsidR="008430D6" w:rsidRPr="00A346E5" w:rsidRDefault="008430D6" w:rsidP="007F2D91">
            <w:pPr>
              <w:jc w:val="right"/>
              <w:rPr>
                <w:rFonts w:ascii="Arial" w:hAnsi="Arial" w:cs="Arial"/>
              </w:rPr>
            </w:pPr>
            <w:r>
              <w:rPr>
                <w:rFonts w:ascii="Arial" w:hAnsi="Arial" w:cs="Arial"/>
              </w:rPr>
              <w:t>600,</w:t>
            </w:r>
            <w:r w:rsidR="007F2D91">
              <w:rPr>
                <w:rFonts w:ascii="Arial" w:hAnsi="Arial" w:cs="Arial"/>
              </w:rPr>
              <w:t>261,069</w:t>
            </w:r>
          </w:p>
        </w:tc>
        <w:tc>
          <w:tcPr>
            <w:tcW w:w="540" w:type="dxa"/>
          </w:tcPr>
          <w:p w:rsidR="008430D6" w:rsidRPr="00A346E5" w:rsidRDefault="008430D6" w:rsidP="00F354F0">
            <w:pPr>
              <w:jc w:val="right"/>
              <w:rPr>
                <w:rFonts w:ascii="Arial" w:hAnsi="Arial" w:cs="Arial"/>
              </w:rPr>
            </w:pPr>
          </w:p>
        </w:tc>
        <w:tc>
          <w:tcPr>
            <w:tcW w:w="1440" w:type="dxa"/>
            <w:vAlign w:val="bottom"/>
          </w:tcPr>
          <w:p w:rsidR="008430D6" w:rsidRPr="00A346E5" w:rsidRDefault="008430D6" w:rsidP="007F2D91">
            <w:pPr>
              <w:jc w:val="right"/>
              <w:rPr>
                <w:rFonts w:ascii="Arial" w:hAnsi="Arial" w:cs="Arial"/>
              </w:rPr>
            </w:pPr>
            <w:r>
              <w:rPr>
                <w:rFonts w:ascii="Arial" w:hAnsi="Arial" w:cs="Arial"/>
              </w:rPr>
              <w:t>122,</w:t>
            </w:r>
            <w:r w:rsidR="007F2D91">
              <w:rPr>
                <w:rFonts w:ascii="Arial" w:hAnsi="Arial" w:cs="Arial"/>
              </w:rPr>
              <w:t>844,96</w:t>
            </w:r>
            <w:r w:rsidR="00E63C95">
              <w:rPr>
                <w:rFonts w:ascii="Arial" w:hAnsi="Arial" w:cs="Arial"/>
              </w:rPr>
              <w:t>7</w:t>
            </w:r>
          </w:p>
        </w:tc>
      </w:tr>
      <w:tr w:rsidR="008430D6" w:rsidRPr="000C51AC" w:rsidTr="00D77E7F">
        <w:trPr>
          <w:trHeight w:hRule="exact" w:val="317"/>
        </w:trPr>
        <w:tc>
          <w:tcPr>
            <w:tcW w:w="3240" w:type="dxa"/>
            <w:vAlign w:val="bottom"/>
          </w:tcPr>
          <w:p w:rsidR="008430D6" w:rsidRPr="00A346E5" w:rsidRDefault="008430D6" w:rsidP="00F354F0">
            <w:pPr>
              <w:jc w:val="both"/>
              <w:rPr>
                <w:rFonts w:ascii="Arial" w:hAnsi="Arial" w:cs="Arial"/>
              </w:rPr>
            </w:pPr>
            <w:r w:rsidRPr="00A346E5">
              <w:rPr>
                <w:rFonts w:ascii="Arial" w:hAnsi="Arial" w:cs="Arial"/>
              </w:rPr>
              <w:t xml:space="preserve">     Capital Deficiency</w:t>
            </w:r>
          </w:p>
        </w:tc>
        <w:tc>
          <w:tcPr>
            <w:tcW w:w="1440" w:type="dxa"/>
            <w:vAlign w:val="bottom"/>
          </w:tcPr>
          <w:p w:rsidR="008430D6" w:rsidRPr="00A346E5" w:rsidRDefault="008430D6" w:rsidP="00F354F0">
            <w:pPr>
              <w:jc w:val="right"/>
              <w:rPr>
                <w:rFonts w:ascii="Arial" w:hAnsi="Arial" w:cs="Arial"/>
              </w:rPr>
            </w:pPr>
            <w:r>
              <w:rPr>
                <w:rFonts w:ascii="Arial" w:hAnsi="Arial" w:cs="Arial"/>
              </w:rPr>
              <w:t>312,814,489</w:t>
            </w:r>
          </w:p>
        </w:tc>
        <w:tc>
          <w:tcPr>
            <w:tcW w:w="450" w:type="dxa"/>
          </w:tcPr>
          <w:p w:rsidR="008430D6" w:rsidRPr="00A346E5" w:rsidRDefault="008430D6" w:rsidP="00F354F0">
            <w:pPr>
              <w:jc w:val="right"/>
              <w:rPr>
                <w:rFonts w:ascii="Arial" w:hAnsi="Arial" w:cs="Arial"/>
              </w:rPr>
            </w:pPr>
          </w:p>
        </w:tc>
        <w:tc>
          <w:tcPr>
            <w:tcW w:w="1530" w:type="dxa"/>
            <w:vAlign w:val="bottom"/>
          </w:tcPr>
          <w:p w:rsidR="008430D6" w:rsidRPr="00A346E5" w:rsidRDefault="008430D6" w:rsidP="007F2D91">
            <w:pPr>
              <w:jc w:val="right"/>
              <w:rPr>
                <w:rFonts w:ascii="Arial" w:hAnsi="Arial" w:cs="Arial"/>
              </w:rPr>
            </w:pPr>
            <w:r w:rsidRPr="00A346E5">
              <w:rPr>
                <w:rFonts w:ascii="Arial" w:hAnsi="Arial" w:cs="Arial"/>
              </w:rPr>
              <w:t>3</w:t>
            </w:r>
            <w:r>
              <w:rPr>
                <w:rFonts w:ascii="Arial" w:hAnsi="Arial" w:cs="Arial"/>
              </w:rPr>
              <w:t>0</w:t>
            </w:r>
            <w:r w:rsidR="007F2D91">
              <w:rPr>
                <w:rFonts w:ascii="Arial" w:hAnsi="Arial" w:cs="Arial"/>
              </w:rPr>
              <w:t>6,692,6576</w:t>
            </w:r>
          </w:p>
        </w:tc>
        <w:tc>
          <w:tcPr>
            <w:tcW w:w="540" w:type="dxa"/>
          </w:tcPr>
          <w:p w:rsidR="008430D6" w:rsidRPr="00A346E5" w:rsidRDefault="008430D6" w:rsidP="00F354F0">
            <w:pPr>
              <w:ind w:right="-108"/>
              <w:jc w:val="center"/>
              <w:rPr>
                <w:rFonts w:ascii="Arial" w:hAnsi="Arial" w:cs="Arial"/>
              </w:rPr>
            </w:pPr>
          </w:p>
        </w:tc>
        <w:tc>
          <w:tcPr>
            <w:tcW w:w="1440" w:type="dxa"/>
            <w:vAlign w:val="bottom"/>
          </w:tcPr>
          <w:p w:rsidR="008430D6" w:rsidRPr="00A346E5" w:rsidRDefault="007F2D91" w:rsidP="008430D6">
            <w:pPr>
              <w:jc w:val="right"/>
              <w:rPr>
                <w:rFonts w:ascii="Arial" w:hAnsi="Arial" w:cs="Arial"/>
              </w:rPr>
            </w:pPr>
            <w:r>
              <w:rPr>
                <w:rFonts w:ascii="Arial" w:hAnsi="Arial" w:cs="Arial"/>
              </w:rPr>
              <w:t>6,121,832</w:t>
            </w:r>
          </w:p>
        </w:tc>
      </w:tr>
      <w:tr w:rsidR="008430D6" w:rsidRPr="000C51AC" w:rsidTr="00D77E7F">
        <w:trPr>
          <w:trHeight w:hRule="exact" w:val="450"/>
        </w:trPr>
        <w:tc>
          <w:tcPr>
            <w:tcW w:w="3240" w:type="dxa"/>
            <w:vAlign w:val="bottom"/>
          </w:tcPr>
          <w:p w:rsidR="008430D6" w:rsidRPr="00A346E5" w:rsidRDefault="008430D6" w:rsidP="00F354F0">
            <w:pPr>
              <w:rPr>
                <w:rFonts w:ascii="Arial" w:hAnsi="Arial" w:cs="Arial"/>
                <w:i/>
              </w:rPr>
            </w:pPr>
            <w:r w:rsidRPr="00A346E5">
              <w:rPr>
                <w:rFonts w:ascii="Arial" w:hAnsi="Arial" w:cs="Arial"/>
                <w:i/>
              </w:rPr>
              <w:t>Result of Operations</w:t>
            </w:r>
          </w:p>
        </w:tc>
        <w:tc>
          <w:tcPr>
            <w:tcW w:w="1440" w:type="dxa"/>
            <w:vAlign w:val="bottom"/>
          </w:tcPr>
          <w:p w:rsidR="008430D6" w:rsidRPr="00A346E5" w:rsidRDefault="008430D6" w:rsidP="00F354F0">
            <w:pPr>
              <w:jc w:val="right"/>
              <w:rPr>
                <w:rFonts w:ascii="Arial" w:hAnsi="Arial" w:cs="Arial"/>
              </w:rPr>
            </w:pPr>
          </w:p>
        </w:tc>
        <w:tc>
          <w:tcPr>
            <w:tcW w:w="450" w:type="dxa"/>
          </w:tcPr>
          <w:p w:rsidR="008430D6" w:rsidRPr="00A346E5" w:rsidRDefault="008430D6" w:rsidP="00F354F0">
            <w:pPr>
              <w:jc w:val="right"/>
              <w:rPr>
                <w:rFonts w:ascii="Arial" w:hAnsi="Arial" w:cs="Arial"/>
              </w:rPr>
            </w:pPr>
          </w:p>
        </w:tc>
        <w:tc>
          <w:tcPr>
            <w:tcW w:w="1530" w:type="dxa"/>
            <w:vAlign w:val="bottom"/>
          </w:tcPr>
          <w:p w:rsidR="008430D6" w:rsidRPr="00A346E5" w:rsidRDefault="008430D6" w:rsidP="00F354F0">
            <w:pPr>
              <w:jc w:val="right"/>
              <w:rPr>
                <w:rFonts w:ascii="Arial" w:hAnsi="Arial" w:cs="Arial"/>
              </w:rPr>
            </w:pPr>
          </w:p>
        </w:tc>
        <w:tc>
          <w:tcPr>
            <w:tcW w:w="540" w:type="dxa"/>
          </w:tcPr>
          <w:p w:rsidR="008430D6" w:rsidRPr="00A346E5" w:rsidRDefault="008430D6" w:rsidP="00F354F0">
            <w:pPr>
              <w:jc w:val="right"/>
              <w:rPr>
                <w:rFonts w:ascii="Arial" w:hAnsi="Arial" w:cs="Arial"/>
              </w:rPr>
            </w:pPr>
          </w:p>
        </w:tc>
        <w:tc>
          <w:tcPr>
            <w:tcW w:w="1440" w:type="dxa"/>
            <w:vAlign w:val="bottom"/>
          </w:tcPr>
          <w:p w:rsidR="008430D6" w:rsidRPr="00A346E5" w:rsidRDefault="008430D6" w:rsidP="00F354F0">
            <w:pPr>
              <w:jc w:val="right"/>
              <w:rPr>
                <w:rFonts w:ascii="Arial" w:hAnsi="Arial" w:cs="Arial"/>
              </w:rPr>
            </w:pPr>
          </w:p>
        </w:tc>
      </w:tr>
      <w:tr w:rsidR="008430D6" w:rsidRPr="000C51AC" w:rsidTr="00D77E7F">
        <w:trPr>
          <w:trHeight w:hRule="exact" w:val="317"/>
        </w:trPr>
        <w:tc>
          <w:tcPr>
            <w:tcW w:w="3240" w:type="dxa"/>
            <w:vAlign w:val="bottom"/>
          </w:tcPr>
          <w:p w:rsidR="008430D6" w:rsidRPr="00A346E5" w:rsidRDefault="008430D6" w:rsidP="00F354F0">
            <w:pPr>
              <w:jc w:val="both"/>
              <w:rPr>
                <w:rFonts w:ascii="Arial" w:hAnsi="Arial" w:cs="Arial"/>
              </w:rPr>
            </w:pPr>
            <w:r w:rsidRPr="00A346E5">
              <w:rPr>
                <w:rFonts w:ascii="Arial" w:hAnsi="Arial" w:cs="Arial"/>
              </w:rPr>
              <w:t xml:space="preserve">     Gross Profit</w:t>
            </w:r>
          </w:p>
        </w:tc>
        <w:tc>
          <w:tcPr>
            <w:tcW w:w="1440" w:type="dxa"/>
            <w:vAlign w:val="bottom"/>
          </w:tcPr>
          <w:p w:rsidR="008430D6" w:rsidRPr="00A346E5" w:rsidRDefault="008430D6" w:rsidP="00F354F0">
            <w:pPr>
              <w:jc w:val="right"/>
              <w:rPr>
                <w:rFonts w:ascii="Arial" w:hAnsi="Arial" w:cs="Arial"/>
              </w:rPr>
            </w:pPr>
            <w:r>
              <w:rPr>
                <w:rFonts w:ascii="Arial" w:hAnsi="Arial" w:cs="Arial"/>
              </w:rPr>
              <w:t>50,038,233</w:t>
            </w:r>
          </w:p>
        </w:tc>
        <w:tc>
          <w:tcPr>
            <w:tcW w:w="450" w:type="dxa"/>
          </w:tcPr>
          <w:p w:rsidR="008430D6" w:rsidRPr="00A346E5" w:rsidRDefault="008430D6" w:rsidP="00F354F0">
            <w:pPr>
              <w:jc w:val="right"/>
              <w:rPr>
                <w:rFonts w:ascii="Arial" w:hAnsi="Arial" w:cs="Arial"/>
              </w:rPr>
            </w:pPr>
          </w:p>
        </w:tc>
        <w:tc>
          <w:tcPr>
            <w:tcW w:w="1530" w:type="dxa"/>
            <w:vAlign w:val="bottom"/>
          </w:tcPr>
          <w:p w:rsidR="008430D6" w:rsidRPr="00A346E5" w:rsidRDefault="008430D6" w:rsidP="00F354F0">
            <w:pPr>
              <w:jc w:val="right"/>
              <w:rPr>
                <w:rFonts w:ascii="Arial" w:hAnsi="Arial" w:cs="Arial"/>
              </w:rPr>
            </w:pPr>
            <w:r w:rsidRPr="00A346E5">
              <w:rPr>
                <w:rFonts w:ascii="Arial" w:hAnsi="Arial" w:cs="Arial"/>
              </w:rPr>
              <w:t>41,</w:t>
            </w:r>
            <w:r>
              <w:rPr>
                <w:rFonts w:ascii="Arial" w:hAnsi="Arial" w:cs="Arial"/>
              </w:rPr>
              <w:t>461</w:t>
            </w:r>
            <w:r w:rsidRPr="00A346E5">
              <w:rPr>
                <w:rFonts w:ascii="Arial" w:hAnsi="Arial" w:cs="Arial"/>
              </w:rPr>
              <w:t>,</w:t>
            </w:r>
            <w:r>
              <w:rPr>
                <w:rFonts w:ascii="Arial" w:hAnsi="Arial" w:cs="Arial"/>
              </w:rPr>
              <w:t>883</w:t>
            </w:r>
          </w:p>
        </w:tc>
        <w:tc>
          <w:tcPr>
            <w:tcW w:w="540" w:type="dxa"/>
          </w:tcPr>
          <w:p w:rsidR="008430D6" w:rsidRPr="00A346E5" w:rsidRDefault="008430D6" w:rsidP="00F354F0">
            <w:pPr>
              <w:jc w:val="right"/>
              <w:rPr>
                <w:rFonts w:ascii="Arial" w:hAnsi="Arial" w:cs="Arial"/>
              </w:rPr>
            </w:pPr>
          </w:p>
        </w:tc>
        <w:tc>
          <w:tcPr>
            <w:tcW w:w="1440" w:type="dxa"/>
            <w:vAlign w:val="bottom"/>
          </w:tcPr>
          <w:p w:rsidR="008430D6" w:rsidRPr="00A346E5" w:rsidRDefault="007F2D91" w:rsidP="00174A84">
            <w:pPr>
              <w:ind w:right="-18"/>
              <w:jc w:val="right"/>
              <w:rPr>
                <w:rFonts w:ascii="Arial" w:hAnsi="Arial" w:cs="Arial"/>
              </w:rPr>
            </w:pPr>
            <w:r>
              <w:rPr>
                <w:rFonts w:ascii="Arial" w:hAnsi="Arial" w:cs="Arial"/>
              </w:rPr>
              <w:t>8,576,350</w:t>
            </w:r>
          </w:p>
        </w:tc>
      </w:tr>
      <w:tr w:rsidR="008430D6" w:rsidRPr="000C51AC" w:rsidTr="00D77E7F">
        <w:trPr>
          <w:trHeight w:hRule="exact" w:val="317"/>
        </w:trPr>
        <w:tc>
          <w:tcPr>
            <w:tcW w:w="3240" w:type="dxa"/>
            <w:vAlign w:val="bottom"/>
          </w:tcPr>
          <w:p w:rsidR="008430D6" w:rsidRPr="00A346E5" w:rsidRDefault="008430D6" w:rsidP="00F354F0">
            <w:pPr>
              <w:jc w:val="both"/>
              <w:rPr>
                <w:rFonts w:ascii="Arial" w:hAnsi="Arial" w:cs="Arial"/>
              </w:rPr>
            </w:pPr>
            <w:r w:rsidRPr="00A346E5">
              <w:rPr>
                <w:rFonts w:ascii="Arial" w:hAnsi="Arial" w:cs="Arial"/>
              </w:rPr>
              <w:t xml:space="preserve">     Total Expenses</w:t>
            </w:r>
          </w:p>
        </w:tc>
        <w:tc>
          <w:tcPr>
            <w:tcW w:w="1440" w:type="dxa"/>
            <w:vAlign w:val="bottom"/>
          </w:tcPr>
          <w:p w:rsidR="008430D6" w:rsidRPr="00A346E5" w:rsidRDefault="008430D6" w:rsidP="00F354F0">
            <w:pPr>
              <w:jc w:val="right"/>
              <w:rPr>
                <w:rFonts w:ascii="Arial" w:hAnsi="Arial" w:cs="Arial"/>
              </w:rPr>
            </w:pPr>
            <w:r>
              <w:rPr>
                <w:rFonts w:ascii="Arial" w:hAnsi="Arial" w:cs="Arial"/>
              </w:rPr>
              <w:t>56,160,065</w:t>
            </w:r>
          </w:p>
        </w:tc>
        <w:tc>
          <w:tcPr>
            <w:tcW w:w="450" w:type="dxa"/>
          </w:tcPr>
          <w:p w:rsidR="008430D6" w:rsidRPr="00A346E5" w:rsidRDefault="008430D6" w:rsidP="00F354F0">
            <w:pPr>
              <w:jc w:val="right"/>
              <w:rPr>
                <w:rFonts w:ascii="Arial" w:hAnsi="Arial" w:cs="Arial"/>
              </w:rPr>
            </w:pPr>
          </w:p>
        </w:tc>
        <w:tc>
          <w:tcPr>
            <w:tcW w:w="1530" w:type="dxa"/>
            <w:vAlign w:val="bottom"/>
          </w:tcPr>
          <w:p w:rsidR="008430D6" w:rsidRPr="00A346E5" w:rsidRDefault="008430D6" w:rsidP="00F354F0">
            <w:pPr>
              <w:jc w:val="right"/>
              <w:rPr>
                <w:rFonts w:ascii="Arial" w:hAnsi="Arial" w:cs="Arial"/>
              </w:rPr>
            </w:pPr>
            <w:r w:rsidRPr="00A346E5">
              <w:rPr>
                <w:rFonts w:ascii="Arial" w:hAnsi="Arial" w:cs="Arial"/>
              </w:rPr>
              <w:t>5</w:t>
            </w:r>
            <w:r>
              <w:rPr>
                <w:rFonts w:ascii="Arial" w:hAnsi="Arial" w:cs="Arial"/>
              </w:rPr>
              <w:t>7,107,931</w:t>
            </w:r>
          </w:p>
        </w:tc>
        <w:tc>
          <w:tcPr>
            <w:tcW w:w="540" w:type="dxa"/>
          </w:tcPr>
          <w:p w:rsidR="008430D6" w:rsidRPr="00A346E5" w:rsidRDefault="008430D6" w:rsidP="00F354F0">
            <w:pPr>
              <w:jc w:val="right"/>
              <w:rPr>
                <w:rFonts w:ascii="Arial" w:hAnsi="Arial" w:cs="Arial"/>
              </w:rPr>
            </w:pPr>
          </w:p>
        </w:tc>
        <w:tc>
          <w:tcPr>
            <w:tcW w:w="1440" w:type="dxa"/>
            <w:vAlign w:val="bottom"/>
          </w:tcPr>
          <w:p w:rsidR="008430D6" w:rsidRPr="00A346E5" w:rsidRDefault="00AE1C66" w:rsidP="00174A84">
            <w:pPr>
              <w:ind w:right="-108"/>
              <w:jc w:val="center"/>
              <w:rPr>
                <w:rFonts w:ascii="Arial" w:hAnsi="Arial" w:cs="Arial"/>
              </w:rPr>
            </w:pPr>
            <w:r>
              <w:rPr>
                <w:rFonts w:ascii="Arial" w:hAnsi="Arial" w:cs="Arial"/>
              </w:rPr>
              <w:t xml:space="preserve">    </w:t>
            </w:r>
            <w:r w:rsidR="007F2D91">
              <w:rPr>
                <w:rFonts w:ascii="Arial" w:hAnsi="Arial" w:cs="Arial"/>
              </w:rPr>
              <w:t>(947,866)</w:t>
            </w:r>
          </w:p>
        </w:tc>
      </w:tr>
      <w:tr w:rsidR="008430D6" w:rsidRPr="000C51AC" w:rsidTr="00D77E7F">
        <w:trPr>
          <w:trHeight w:hRule="exact" w:val="317"/>
        </w:trPr>
        <w:tc>
          <w:tcPr>
            <w:tcW w:w="3240" w:type="dxa"/>
            <w:vAlign w:val="bottom"/>
          </w:tcPr>
          <w:p w:rsidR="008430D6" w:rsidRPr="00A346E5" w:rsidRDefault="008430D6" w:rsidP="00F354F0">
            <w:pPr>
              <w:jc w:val="both"/>
              <w:rPr>
                <w:rFonts w:ascii="Arial" w:hAnsi="Arial" w:cs="Arial"/>
              </w:rPr>
            </w:pPr>
            <w:r w:rsidRPr="00A346E5">
              <w:rPr>
                <w:rFonts w:ascii="Arial" w:hAnsi="Arial" w:cs="Arial"/>
              </w:rPr>
              <w:t xml:space="preserve">     Net Income (Loss)</w:t>
            </w:r>
          </w:p>
        </w:tc>
        <w:tc>
          <w:tcPr>
            <w:tcW w:w="1440" w:type="dxa"/>
            <w:vAlign w:val="bottom"/>
          </w:tcPr>
          <w:p w:rsidR="008430D6" w:rsidRPr="00A346E5" w:rsidRDefault="00432414" w:rsidP="008430D6">
            <w:pPr>
              <w:ind w:right="-108"/>
              <w:jc w:val="center"/>
              <w:rPr>
                <w:rFonts w:ascii="Arial" w:hAnsi="Arial" w:cs="Arial"/>
              </w:rPr>
            </w:pPr>
            <w:r>
              <w:rPr>
                <w:rFonts w:ascii="Arial" w:hAnsi="Arial" w:cs="Arial"/>
              </w:rPr>
              <w:t xml:space="preserve">  </w:t>
            </w:r>
            <w:r w:rsidR="008430D6">
              <w:rPr>
                <w:rFonts w:ascii="Arial" w:hAnsi="Arial" w:cs="Arial"/>
              </w:rPr>
              <w:t>(6,121,832)</w:t>
            </w:r>
          </w:p>
        </w:tc>
        <w:tc>
          <w:tcPr>
            <w:tcW w:w="450" w:type="dxa"/>
          </w:tcPr>
          <w:p w:rsidR="008430D6" w:rsidRPr="00A346E5" w:rsidRDefault="008430D6" w:rsidP="00F354F0">
            <w:pPr>
              <w:jc w:val="right"/>
              <w:rPr>
                <w:rFonts w:ascii="Arial" w:hAnsi="Arial" w:cs="Arial"/>
              </w:rPr>
            </w:pPr>
          </w:p>
        </w:tc>
        <w:tc>
          <w:tcPr>
            <w:tcW w:w="1530" w:type="dxa"/>
            <w:vAlign w:val="bottom"/>
          </w:tcPr>
          <w:p w:rsidR="008430D6" w:rsidRPr="00A346E5" w:rsidRDefault="008430D6" w:rsidP="00F354F0">
            <w:pPr>
              <w:ind w:right="-108"/>
              <w:jc w:val="center"/>
              <w:rPr>
                <w:rFonts w:ascii="Arial" w:hAnsi="Arial" w:cs="Arial"/>
              </w:rPr>
            </w:pPr>
            <w:r w:rsidRPr="00A346E5">
              <w:rPr>
                <w:rFonts w:ascii="Arial" w:hAnsi="Arial" w:cs="Arial"/>
              </w:rPr>
              <w:t xml:space="preserve"> (15,</w:t>
            </w:r>
            <w:r>
              <w:rPr>
                <w:rFonts w:ascii="Arial" w:hAnsi="Arial" w:cs="Arial"/>
              </w:rPr>
              <w:t>646,048</w:t>
            </w:r>
            <w:r w:rsidRPr="00A346E5">
              <w:rPr>
                <w:rFonts w:ascii="Arial" w:hAnsi="Arial" w:cs="Arial"/>
              </w:rPr>
              <w:t>)</w:t>
            </w:r>
          </w:p>
        </w:tc>
        <w:tc>
          <w:tcPr>
            <w:tcW w:w="540" w:type="dxa"/>
          </w:tcPr>
          <w:p w:rsidR="008430D6" w:rsidRPr="00A346E5" w:rsidRDefault="008430D6" w:rsidP="00F354F0">
            <w:pPr>
              <w:jc w:val="right"/>
              <w:rPr>
                <w:rFonts w:ascii="Arial" w:hAnsi="Arial" w:cs="Arial"/>
              </w:rPr>
            </w:pPr>
          </w:p>
        </w:tc>
        <w:tc>
          <w:tcPr>
            <w:tcW w:w="1440" w:type="dxa"/>
            <w:vAlign w:val="bottom"/>
          </w:tcPr>
          <w:p w:rsidR="008430D6" w:rsidRPr="00A346E5" w:rsidRDefault="007F2D91" w:rsidP="00174A84">
            <w:pPr>
              <w:ind w:right="-18"/>
              <w:jc w:val="right"/>
              <w:rPr>
                <w:rFonts w:ascii="Arial" w:hAnsi="Arial" w:cs="Arial"/>
              </w:rPr>
            </w:pPr>
            <w:r>
              <w:rPr>
                <w:rFonts w:ascii="Arial" w:hAnsi="Arial" w:cs="Arial"/>
              </w:rPr>
              <w:t>9,524,216</w:t>
            </w:r>
          </w:p>
        </w:tc>
      </w:tr>
    </w:tbl>
    <w:p w:rsidR="009319E1" w:rsidRDefault="009319E1" w:rsidP="009319E1">
      <w:pPr>
        <w:spacing w:after="0" w:line="240" w:lineRule="auto"/>
        <w:jc w:val="both"/>
        <w:rPr>
          <w:rFonts w:ascii="Arial" w:hAnsi="Arial" w:cs="Arial"/>
        </w:rPr>
      </w:pPr>
    </w:p>
    <w:p w:rsidR="00000FE8" w:rsidRDefault="00EB6992" w:rsidP="00E63C95">
      <w:pPr>
        <w:spacing w:after="0" w:line="240" w:lineRule="auto"/>
        <w:jc w:val="both"/>
        <w:rPr>
          <w:rFonts w:ascii="Arial" w:hAnsi="Arial" w:cs="Arial"/>
        </w:rPr>
      </w:pPr>
      <w:r>
        <w:rPr>
          <w:rFonts w:ascii="Arial" w:hAnsi="Arial" w:cs="Arial"/>
        </w:rPr>
        <w:t>PPI’s current year operating performance as well as financial position did not improve despite achieving the highest sales.  While the amount of gross profit has increased and expenses slightly decrease</w:t>
      </w:r>
      <w:r w:rsidR="00FE5FAA">
        <w:rPr>
          <w:rFonts w:ascii="Arial" w:hAnsi="Arial" w:cs="Arial"/>
        </w:rPr>
        <w:t>d</w:t>
      </w:r>
      <w:r w:rsidR="00D77E7F">
        <w:rPr>
          <w:rFonts w:ascii="Arial" w:hAnsi="Arial" w:cs="Arial"/>
        </w:rPr>
        <w:t xml:space="preserve"> compared with the</w:t>
      </w:r>
      <w:r>
        <w:rPr>
          <w:rFonts w:ascii="Arial" w:hAnsi="Arial" w:cs="Arial"/>
        </w:rPr>
        <w:t xml:space="preserve"> previous year, operations still resulted </w:t>
      </w:r>
      <w:r w:rsidR="00FE5FAA">
        <w:rPr>
          <w:rFonts w:ascii="Arial" w:hAnsi="Arial" w:cs="Arial"/>
        </w:rPr>
        <w:t xml:space="preserve">in net loss because expenses remain higher than gross profit. </w:t>
      </w:r>
      <w:r>
        <w:rPr>
          <w:rFonts w:ascii="Arial" w:hAnsi="Arial" w:cs="Arial"/>
        </w:rPr>
        <w:t xml:space="preserve">The </w:t>
      </w:r>
      <w:r w:rsidR="00FE5FAA">
        <w:rPr>
          <w:rFonts w:ascii="Arial" w:hAnsi="Arial" w:cs="Arial"/>
        </w:rPr>
        <w:t xml:space="preserve">current </w:t>
      </w:r>
      <w:r>
        <w:rPr>
          <w:rFonts w:ascii="Arial" w:hAnsi="Arial" w:cs="Arial"/>
        </w:rPr>
        <w:t>gross profit percentage was the lowest at 5.32 per cent</w:t>
      </w:r>
      <w:r w:rsidR="00FE5FAA">
        <w:rPr>
          <w:rFonts w:ascii="Arial" w:hAnsi="Arial" w:cs="Arial"/>
        </w:rPr>
        <w:t xml:space="preserve">.  </w:t>
      </w:r>
    </w:p>
    <w:p w:rsidR="00FE5FAA" w:rsidRDefault="00FE5FAA" w:rsidP="00E63C95">
      <w:pPr>
        <w:spacing w:after="0" w:line="240" w:lineRule="auto"/>
        <w:jc w:val="both"/>
        <w:rPr>
          <w:rFonts w:ascii="Arial" w:hAnsi="Arial" w:cs="Arial"/>
        </w:rPr>
      </w:pPr>
    </w:p>
    <w:p w:rsidR="00FE5FAA" w:rsidRDefault="00FE5FAA" w:rsidP="00E63C95">
      <w:pPr>
        <w:spacing w:after="0" w:line="240" w:lineRule="auto"/>
        <w:jc w:val="both"/>
        <w:rPr>
          <w:rFonts w:ascii="Arial" w:hAnsi="Arial" w:cs="Arial"/>
        </w:rPr>
      </w:pPr>
      <w:r>
        <w:rPr>
          <w:rFonts w:ascii="Arial" w:hAnsi="Arial" w:cs="Arial"/>
        </w:rPr>
        <w:t>After 10 years in operation, PPI was not able to manage business effectively to improve its financial position.  L</w:t>
      </w:r>
      <w:r w:rsidR="00145553">
        <w:rPr>
          <w:rFonts w:ascii="Arial" w:hAnsi="Arial" w:cs="Arial"/>
        </w:rPr>
        <w:t>iquidity remains a problem as l</w:t>
      </w:r>
      <w:r>
        <w:rPr>
          <w:rFonts w:ascii="Arial" w:hAnsi="Arial" w:cs="Arial"/>
        </w:rPr>
        <w:t xml:space="preserve">iabilities </w:t>
      </w:r>
      <w:r w:rsidR="00145553">
        <w:rPr>
          <w:rFonts w:ascii="Arial" w:hAnsi="Arial" w:cs="Arial"/>
        </w:rPr>
        <w:t xml:space="preserve">remain significantly higher than assets.  </w:t>
      </w:r>
    </w:p>
    <w:p w:rsidR="00145553" w:rsidRDefault="00145553" w:rsidP="00E63C95">
      <w:pPr>
        <w:spacing w:after="0" w:line="240" w:lineRule="auto"/>
        <w:jc w:val="both"/>
        <w:rPr>
          <w:rFonts w:ascii="Arial" w:hAnsi="Arial" w:cs="Arial"/>
        </w:rPr>
      </w:pPr>
    </w:p>
    <w:p w:rsidR="00145553" w:rsidRDefault="00145553" w:rsidP="00E63C95">
      <w:pPr>
        <w:spacing w:after="0" w:line="240" w:lineRule="auto"/>
        <w:jc w:val="both"/>
        <w:rPr>
          <w:rFonts w:ascii="Arial" w:hAnsi="Arial" w:cs="Arial"/>
        </w:rPr>
      </w:pPr>
    </w:p>
    <w:p w:rsidR="00145553" w:rsidRPr="00145553" w:rsidRDefault="00145553" w:rsidP="00E63C95">
      <w:pPr>
        <w:spacing w:after="0" w:line="240" w:lineRule="auto"/>
        <w:jc w:val="both"/>
        <w:rPr>
          <w:rFonts w:ascii="Arial" w:hAnsi="Arial" w:cs="Arial"/>
          <w:b/>
        </w:rPr>
      </w:pPr>
      <w:r w:rsidRPr="00145553">
        <w:rPr>
          <w:rFonts w:ascii="Arial" w:hAnsi="Arial" w:cs="Arial"/>
          <w:b/>
        </w:rPr>
        <w:t>Independent Auditor’s Report on the Financial Statements</w:t>
      </w:r>
    </w:p>
    <w:p w:rsidR="00145553" w:rsidRDefault="00145553" w:rsidP="00E63C95">
      <w:pPr>
        <w:spacing w:after="0" w:line="240" w:lineRule="auto"/>
        <w:jc w:val="both"/>
        <w:rPr>
          <w:rFonts w:ascii="Arial" w:hAnsi="Arial" w:cs="Arial"/>
        </w:rPr>
      </w:pPr>
    </w:p>
    <w:p w:rsidR="00145553" w:rsidRDefault="00145553" w:rsidP="00E63C95">
      <w:pPr>
        <w:spacing w:after="0" w:line="240" w:lineRule="auto"/>
        <w:jc w:val="both"/>
        <w:rPr>
          <w:rFonts w:ascii="Arial" w:hAnsi="Arial" w:cs="Arial"/>
        </w:rPr>
      </w:pPr>
      <w:r>
        <w:rPr>
          <w:rFonts w:ascii="Arial" w:hAnsi="Arial" w:cs="Arial"/>
        </w:rPr>
        <w:t xml:space="preserve">The Auditor rendered </w:t>
      </w:r>
      <w:r w:rsidR="00E63C95">
        <w:rPr>
          <w:rFonts w:ascii="Arial" w:hAnsi="Arial" w:cs="Arial"/>
        </w:rPr>
        <w:t>an unqualified</w:t>
      </w:r>
      <w:r>
        <w:rPr>
          <w:rFonts w:ascii="Arial" w:hAnsi="Arial" w:cs="Arial"/>
        </w:rPr>
        <w:t xml:space="preserve"> opinion </w:t>
      </w:r>
      <w:r w:rsidR="00174A84">
        <w:rPr>
          <w:rFonts w:ascii="Arial" w:hAnsi="Arial" w:cs="Arial"/>
        </w:rPr>
        <w:t>with emphasis of</w:t>
      </w:r>
      <w:r w:rsidR="00D77E7F">
        <w:rPr>
          <w:rFonts w:ascii="Arial" w:hAnsi="Arial" w:cs="Arial"/>
        </w:rPr>
        <w:t xml:space="preserve"> matter </w:t>
      </w:r>
      <w:r>
        <w:rPr>
          <w:rFonts w:ascii="Arial" w:hAnsi="Arial" w:cs="Arial"/>
        </w:rPr>
        <w:t>on the fairness of presentation of the financial statements of PPI.</w:t>
      </w:r>
    </w:p>
    <w:p w:rsidR="00145553" w:rsidRDefault="00145553" w:rsidP="00E63C95">
      <w:pPr>
        <w:spacing w:after="0" w:line="240" w:lineRule="auto"/>
        <w:jc w:val="both"/>
        <w:rPr>
          <w:rFonts w:ascii="Arial" w:hAnsi="Arial" w:cs="Arial"/>
        </w:rPr>
      </w:pPr>
    </w:p>
    <w:p w:rsidR="00145553" w:rsidRDefault="00145553" w:rsidP="00E63C95">
      <w:pPr>
        <w:spacing w:after="0" w:line="240" w:lineRule="auto"/>
        <w:jc w:val="both"/>
        <w:rPr>
          <w:rFonts w:ascii="Arial" w:hAnsi="Arial" w:cs="Arial"/>
        </w:rPr>
      </w:pPr>
    </w:p>
    <w:p w:rsidR="00145553" w:rsidRPr="00A27018" w:rsidRDefault="00145553" w:rsidP="00E63C95">
      <w:pPr>
        <w:spacing w:after="0" w:line="240" w:lineRule="auto"/>
        <w:jc w:val="both"/>
        <w:rPr>
          <w:rFonts w:ascii="Arial" w:hAnsi="Arial" w:cs="Arial"/>
          <w:b/>
        </w:rPr>
      </w:pPr>
      <w:r w:rsidRPr="00A27018">
        <w:rPr>
          <w:rFonts w:ascii="Arial" w:hAnsi="Arial" w:cs="Arial"/>
          <w:b/>
        </w:rPr>
        <w:t>Significant Audit Observations and Recommendations</w:t>
      </w:r>
    </w:p>
    <w:p w:rsidR="00145553" w:rsidRDefault="00145553" w:rsidP="00E63C95">
      <w:pPr>
        <w:spacing w:after="0" w:line="240" w:lineRule="auto"/>
        <w:jc w:val="both"/>
        <w:rPr>
          <w:rFonts w:ascii="Arial" w:hAnsi="Arial" w:cs="Arial"/>
        </w:rPr>
      </w:pPr>
    </w:p>
    <w:p w:rsidR="00145553" w:rsidRDefault="00145553" w:rsidP="00E63C95">
      <w:pPr>
        <w:spacing w:after="0" w:line="240" w:lineRule="auto"/>
        <w:jc w:val="both"/>
        <w:rPr>
          <w:rFonts w:ascii="Arial" w:hAnsi="Arial" w:cs="Arial"/>
        </w:rPr>
      </w:pPr>
      <w:r>
        <w:rPr>
          <w:rFonts w:ascii="Arial" w:hAnsi="Arial" w:cs="Arial"/>
        </w:rPr>
        <w:t>Below is the summary of significant audit observations and recommendations with details discussed in Part II of this Report:</w:t>
      </w:r>
    </w:p>
    <w:p w:rsidR="00145553" w:rsidRDefault="00145553" w:rsidP="00E63C95">
      <w:pPr>
        <w:spacing w:after="0" w:line="240" w:lineRule="auto"/>
        <w:jc w:val="both"/>
        <w:rPr>
          <w:rFonts w:ascii="Arial" w:hAnsi="Arial" w:cs="Arial"/>
        </w:rPr>
      </w:pPr>
    </w:p>
    <w:p w:rsidR="004B329E" w:rsidRPr="004B329E" w:rsidRDefault="004B329E" w:rsidP="00E63C95">
      <w:pPr>
        <w:numPr>
          <w:ilvl w:val="0"/>
          <w:numId w:val="1"/>
        </w:numPr>
        <w:spacing w:after="0" w:line="240" w:lineRule="auto"/>
        <w:ind w:left="360"/>
        <w:jc w:val="both"/>
        <w:rPr>
          <w:rFonts w:ascii="Arial" w:hAnsi="Arial" w:cs="Arial"/>
        </w:rPr>
      </w:pPr>
      <w:r w:rsidRPr="004B329E">
        <w:rPr>
          <w:rFonts w:ascii="Arial" w:hAnsi="Arial" w:cs="Arial"/>
        </w:rPr>
        <w:t>PPI’s results of operation and financial position show losses and negative equity since its inception that indicates its difficulty and inability to sustain operations, carry out its mandated functions and continue as a going concern.</w:t>
      </w:r>
    </w:p>
    <w:p w:rsidR="00D77E7F" w:rsidRPr="00A27018" w:rsidRDefault="00D77E7F" w:rsidP="00E63C95">
      <w:pPr>
        <w:spacing w:after="0" w:line="240" w:lineRule="auto"/>
        <w:jc w:val="both"/>
        <w:rPr>
          <w:rFonts w:ascii="Arial" w:hAnsi="Arial" w:cs="Arial"/>
        </w:rPr>
      </w:pPr>
    </w:p>
    <w:p w:rsidR="00145553" w:rsidRPr="00A27018" w:rsidRDefault="00145553" w:rsidP="00E63C95">
      <w:pPr>
        <w:spacing w:after="0" w:line="240" w:lineRule="auto"/>
        <w:ind w:left="360"/>
        <w:jc w:val="both"/>
        <w:rPr>
          <w:rFonts w:ascii="Arial" w:hAnsi="Arial" w:cs="Arial"/>
        </w:rPr>
      </w:pPr>
      <w:r w:rsidRPr="00A27018">
        <w:rPr>
          <w:rFonts w:ascii="Arial" w:hAnsi="Arial" w:cs="Arial"/>
        </w:rPr>
        <w:t>W</w:t>
      </w:r>
      <w:r w:rsidR="00D77E7F">
        <w:rPr>
          <w:rFonts w:ascii="Arial" w:hAnsi="Arial" w:cs="Arial"/>
        </w:rPr>
        <w:t>e recommended that Management:</w:t>
      </w:r>
    </w:p>
    <w:p w:rsidR="00145553" w:rsidRPr="00A27018" w:rsidRDefault="00145553" w:rsidP="00E63C95">
      <w:pPr>
        <w:pStyle w:val="ListParagraph"/>
        <w:spacing w:after="0" w:line="240" w:lineRule="auto"/>
        <w:ind w:left="187" w:firstLine="86"/>
        <w:jc w:val="both"/>
        <w:rPr>
          <w:rFonts w:ascii="Arial" w:hAnsi="Arial" w:cs="Arial"/>
        </w:rPr>
      </w:pPr>
    </w:p>
    <w:p w:rsidR="004B329E" w:rsidRPr="004B329E" w:rsidRDefault="004B329E" w:rsidP="00E63C95">
      <w:pPr>
        <w:pStyle w:val="ListParagraph"/>
        <w:numPr>
          <w:ilvl w:val="0"/>
          <w:numId w:val="3"/>
        </w:numPr>
        <w:spacing w:after="0" w:line="240" w:lineRule="auto"/>
        <w:ind w:left="720"/>
        <w:jc w:val="both"/>
        <w:rPr>
          <w:rFonts w:ascii="Arial" w:hAnsi="Arial" w:cs="Arial"/>
        </w:rPr>
      </w:pPr>
      <w:r w:rsidRPr="004B329E">
        <w:rPr>
          <w:rFonts w:ascii="Arial" w:hAnsi="Arial" w:cs="Arial"/>
        </w:rPr>
        <w:t>Conduct an assessment of the conditions affecting the consistent unfavorable operating performance of PPI, to include the following:</w:t>
      </w:r>
    </w:p>
    <w:p w:rsidR="004B329E" w:rsidRPr="004B329E" w:rsidRDefault="004B329E" w:rsidP="00E63C95">
      <w:pPr>
        <w:pStyle w:val="ListParagraph"/>
        <w:tabs>
          <w:tab w:val="left" w:pos="270"/>
          <w:tab w:val="left" w:pos="1260"/>
        </w:tabs>
        <w:spacing w:after="0" w:line="240" w:lineRule="auto"/>
        <w:ind w:left="1267"/>
        <w:jc w:val="both"/>
        <w:rPr>
          <w:rFonts w:ascii="Arial" w:hAnsi="Arial" w:cs="Arial"/>
        </w:rPr>
      </w:pPr>
    </w:p>
    <w:p w:rsidR="004B329E" w:rsidRPr="004B329E" w:rsidRDefault="004B329E" w:rsidP="00E63C95">
      <w:pPr>
        <w:pStyle w:val="ListParagraph"/>
        <w:numPr>
          <w:ilvl w:val="2"/>
          <w:numId w:val="4"/>
        </w:numPr>
        <w:spacing w:after="0" w:line="240" w:lineRule="auto"/>
        <w:ind w:left="1530"/>
        <w:jc w:val="both"/>
        <w:rPr>
          <w:rFonts w:ascii="Arial" w:hAnsi="Arial" w:cs="Arial"/>
        </w:rPr>
      </w:pPr>
      <w:r w:rsidRPr="004B329E">
        <w:rPr>
          <w:rFonts w:ascii="Arial" w:hAnsi="Arial" w:cs="Arial"/>
        </w:rPr>
        <w:lastRenderedPageBreak/>
        <w:t>Evaluation of pricing methods so that gross margin will at least be enough to cover operating expenses;</w:t>
      </w:r>
    </w:p>
    <w:p w:rsidR="004B329E" w:rsidRPr="004B329E" w:rsidRDefault="004B329E" w:rsidP="00E63C95">
      <w:pPr>
        <w:pStyle w:val="ListParagraph"/>
        <w:tabs>
          <w:tab w:val="left" w:pos="270"/>
          <w:tab w:val="left" w:pos="360"/>
          <w:tab w:val="left" w:pos="1260"/>
        </w:tabs>
        <w:spacing w:after="0" w:line="240" w:lineRule="auto"/>
        <w:ind w:left="1530" w:hanging="180"/>
        <w:jc w:val="both"/>
        <w:rPr>
          <w:rFonts w:ascii="Arial" w:hAnsi="Arial" w:cs="Arial"/>
        </w:rPr>
      </w:pPr>
    </w:p>
    <w:p w:rsidR="004B329E" w:rsidRPr="004B329E" w:rsidRDefault="004B329E" w:rsidP="00E63C95">
      <w:pPr>
        <w:pStyle w:val="ListParagraph"/>
        <w:numPr>
          <w:ilvl w:val="2"/>
          <w:numId w:val="4"/>
        </w:numPr>
        <w:spacing w:after="0" w:line="240" w:lineRule="auto"/>
        <w:ind w:left="1530"/>
        <w:jc w:val="both"/>
        <w:rPr>
          <w:rFonts w:ascii="Arial" w:hAnsi="Arial" w:cs="Arial"/>
        </w:rPr>
      </w:pPr>
      <w:r w:rsidRPr="004B329E">
        <w:rPr>
          <w:rFonts w:ascii="Arial" w:hAnsi="Arial" w:cs="Arial"/>
        </w:rPr>
        <w:t>Periodic review of operating performance with concern not only on the volume of sales but also its profitability; and</w:t>
      </w:r>
    </w:p>
    <w:p w:rsidR="004B329E" w:rsidRPr="004B329E" w:rsidRDefault="004B329E" w:rsidP="00E63C95">
      <w:pPr>
        <w:pStyle w:val="ListParagraph"/>
        <w:tabs>
          <w:tab w:val="left" w:pos="270"/>
          <w:tab w:val="left" w:pos="360"/>
          <w:tab w:val="left" w:pos="1260"/>
        </w:tabs>
        <w:spacing w:after="0" w:line="240" w:lineRule="auto"/>
        <w:ind w:left="1530" w:hanging="180"/>
        <w:jc w:val="both"/>
        <w:rPr>
          <w:rFonts w:ascii="Arial" w:hAnsi="Arial" w:cs="Arial"/>
        </w:rPr>
      </w:pPr>
    </w:p>
    <w:p w:rsidR="004B329E" w:rsidRPr="004B329E" w:rsidRDefault="004B329E" w:rsidP="00E63C95">
      <w:pPr>
        <w:pStyle w:val="ListParagraph"/>
        <w:numPr>
          <w:ilvl w:val="2"/>
          <w:numId w:val="4"/>
        </w:numPr>
        <w:spacing w:after="0" w:line="240" w:lineRule="auto"/>
        <w:ind w:left="1530"/>
        <w:jc w:val="both"/>
        <w:rPr>
          <w:rFonts w:ascii="Arial" w:hAnsi="Arial" w:cs="Arial"/>
        </w:rPr>
      </w:pPr>
      <w:r w:rsidRPr="004B329E">
        <w:rPr>
          <w:rFonts w:ascii="Arial" w:hAnsi="Arial" w:cs="Arial"/>
        </w:rPr>
        <w:t xml:space="preserve">Evaluation of existing procedures and controls for improvements in the different stages of operations; </w:t>
      </w:r>
    </w:p>
    <w:p w:rsidR="004B329E" w:rsidRPr="004B329E" w:rsidRDefault="004B329E" w:rsidP="00E63C95">
      <w:pPr>
        <w:pStyle w:val="ListParagraph"/>
        <w:tabs>
          <w:tab w:val="left" w:pos="270"/>
          <w:tab w:val="left" w:pos="1260"/>
        </w:tabs>
        <w:spacing w:after="0" w:line="240" w:lineRule="auto"/>
        <w:ind w:left="1267"/>
        <w:jc w:val="both"/>
        <w:rPr>
          <w:rFonts w:ascii="Arial" w:hAnsi="Arial" w:cs="Arial"/>
        </w:rPr>
      </w:pPr>
    </w:p>
    <w:p w:rsidR="004B329E" w:rsidRPr="007A42EE" w:rsidRDefault="004B329E" w:rsidP="00E63C95">
      <w:pPr>
        <w:pStyle w:val="ListParagraph"/>
        <w:numPr>
          <w:ilvl w:val="0"/>
          <w:numId w:val="3"/>
        </w:numPr>
        <w:spacing w:after="0" w:line="240" w:lineRule="auto"/>
        <w:ind w:left="720"/>
        <w:jc w:val="both"/>
        <w:rPr>
          <w:rFonts w:ascii="Arial" w:hAnsi="Arial" w:cs="Arial"/>
          <w:b/>
        </w:rPr>
      </w:pPr>
      <w:r w:rsidRPr="004B329E">
        <w:rPr>
          <w:rFonts w:ascii="Arial" w:hAnsi="Arial" w:cs="Arial"/>
        </w:rPr>
        <w:t xml:space="preserve">Formulate and establish the specific courses of action to implement the business plans discussed in paragraph 1.7 </w:t>
      </w:r>
      <w:r w:rsidR="009E5FD1">
        <w:rPr>
          <w:rFonts w:ascii="Arial" w:hAnsi="Arial" w:cs="Arial"/>
        </w:rPr>
        <w:t xml:space="preserve">of </w:t>
      </w:r>
      <w:r w:rsidR="004D11A4">
        <w:rPr>
          <w:rFonts w:ascii="Arial" w:hAnsi="Arial" w:cs="Arial"/>
        </w:rPr>
        <w:t xml:space="preserve">Part II - </w:t>
      </w:r>
      <w:r w:rsidR="009E5FD1">
        <w:rPr>
          <w:rFonts w:ascii="Arial" w:hAnsi="Arial" w:cs="Arial"/>
        </w:rPr>
        <w:t>Audit Observations and Recommendations</w:t>
      </w:r>
      <w:r w:rsidR="000851EB">
        <w:rPr>
          <w:rFonts w:ascii="Arial" w:hAnsi="Arial" w:cs="Arial"/>
        </w:rPr>
        <w:t>,</w:t>
      </w:r>
      <w:r w:rsidR="009E5FD1">
        <w:rPr>
          <w:rFonts w:ascii="Arial" w:hAnsi="Arial" w:cs="Arial"/>
        </w:rPr>
        <w:t xml:space="preserve"> </w:t>
      </w:r>
      <w:r w:rsidRPr="004B329E">
        <w:rPr>
          <w:rFonts w:ascii="Arial" w:hAnsi="Arial" w:cs="Arial"/>
        </w:rPr>
        <w:t>and disclosed in Note 2 of the Notes to Financial Statements;</w:t>
      </w:r>
    </w:p>
    <w:p w:rsidR="00145553" w:rsidRPr="00A27018" w:rsidRDefault="00145553" w:rsidP="00E63C95">
      <w:pPr>
        <w:pStyle w:val="ListParagraph"/>
        <w:spacing w:after="0" w:line="240" w:lineRule="auto"/>
        <w:ind w:hanging="360"/>
        <w:jc w:val="both"/>
        <w:rPr>
          <w:rFonts w:ascii="Arial" w:hAnsi="Arial" w:cs="Arial"/>
        </w:rPr>
      </w:pPr>
    </w:p>
    <w:p w:rsidR="00145553" w:rsidRPr="00A27018" w:rsidRDefault="00145553" w:rsidP="00E63C95">
      <w:pPr>
        <w:pStyle w:val="ListParagraph"/>
        <w:numPr>
          <w:ilvl w:val="0"/>
          <w:numId w:val="3"/>
        </w:numPr>
        <w:spacing w:after="0" w:line="240" w:lineRule="auto"/>
        <w:ind w:left="720"/>
        <w:jc w:val="both"/>
        <w:rPr>
          <w:rFonts w:ascii="Arial" w:hAnsi="Arial" w:cs="Arial"/>
        </w:rPr>
      </w:pPr>
      <w:r w:rsidRPr="00A27018">
        <w:rPr>
          <w:rFonts w:ascii="Arial" w:hAnsi="Arial" w:cs="Arial"/>
        </w:rPr>
        <w:t>Initiate more effective and efficient strategies to intensify collection of trade receivables; and</w:t>
      </w:r>
    </w:p>
    <w:p w:rsidR="00145553" w:rsidRPr="00A27018" w:rsidRDefault="00145553" w:rsidP="00E63C95">
      <w:pPr>
        <w:pStyle w:val="ListParagraph"/>
        <w:tabs>
          <w:tab w:val="left" w:pos="270"/>
          <w:tab w:val="left" w:pos="1260"/>
        </w:tabs>
        <w:spacing w:after="0" w:line="240" w:lineRule="auto"/>
        <w:ind w:hanging="360"/>
        <w:jc w:val="both"/>
        <w:rPr>
          <w:rFonts w:ascii="Arial" w:hAnsi="Arial" w:cs="Arial"/>
        </w:rPr>
      </w:pPr>
    </w:p>
    <w:p w:rsidR="00145553" w:rsidRPr="00A27018" w:rsidRDefault="00145553" w:rsidP="00E63C95">
      <w:pPr>
        <w:pStyle w:val="ListParagraph"/>
        <w:numPr>
          <w:ilvl w:val="0"/>
          <w:numId w:val="3"/>
        </w:numPr>
        <w:spacing w:after="0" w:line="240" w:lineRule="auto"/>
        <w:ind w:left="720"/>
        <w:jc w:val="both"/>
        <w:rPr>
          <w:rFonts w:ascii="Arial" w:hAnsi="Arial" w:cs="Arial"/>
        </w:rPr>
      </w:pPr>
      <w:r w:rsidRPr="00A27018">
        <w:rPr>
          <w:rFonts w:ascii="Arial" w:hAnsi="Arial" w:cs="Arial"/>
        </w:rPr>
        <w:t xml:space="preserve">Formulate policies </w:t>
      </w:r>
      <w:r w:rsidR="00E63C95">
        <w:rPr>
          <w:rFonts w:ascii="Arial" w:hAnsi="Arial" w:cs="Arial"/>
        </w:rPr>
        <w:t>emphasizing</w:t>
      </w:r>
      <w:r w:rsidRPr="00A27018">
        <w:rPr>
          <w:rFonts w:ascii="Arial" w:hAnsi="Arial" w:cs="Arial"/>
        </w:rPr>
        <w:t xml:space="preserve"> sound internal controls and ensure proper implementation thereof.</w:t>
      </w:r>
    </w:p>
    <w:p w:rsidR="00145553" w:rsidRPr="00A27018" w:rsidRDefault="00145553" w:rsidP="00E63C95">
      <w:pPr>
        <w:spacing w:after="0" w:line="240" w:lineRule="auto"/>
        <w:jc w:val="both"/>
        <w:rPr>
          <w:rFonts w:ascii="Arial" w:hAnsi="Arial" w:cs="Arial"/>
        </w:rPr>
      </w:pPr>
    </w:p>
    <w:p w:rsidR="004B329E" w:rsidRPr="004B329E" w:rsidRDefault="004B329E" w:rsidP="00E63C95">
      <w:pPr>
        <w:pStyle w:val="ListParagraph"/>
        <w:numPr>
          <w:ilvl w:val="0"/>
          <w:numId w:val="1"/>
        </w:numPr>
        <w:spacing w:after="0" w:line="240" w:lineRule="auto"/>
        <w:ind w:left="360"/>
        <w:jc w:val="both"/>
        <w:rPr>
          <w:rFonts w:ascii="Arial" w:hAnsi="Arial" w:cs="Arial"/>
        </w:rPr>
      </w:pPr>
      <w:r w:rsidRPr="004B329E">
        <w:rPr>
          <w:rFonts w:ascii="Arial" w:hAnsi="Arial" w:cs="Arial"/>
        </w:rPr>
        <w:t>PPI has not developed an effective profitability strategy resulting in consistent losses since the start of operations.</w:t>
      </w:r>
    </w:p>
    <w:p w:rsidR="00145553" w:rsidRPr="004B329E" w:rsidRDefault="00145553" w:rsidP="00E63C95">
      <w:pPr>
        <w:spacing w:after="0" w:line="240" w:lineRule="auto"/>
        <w:ind w:left="360"/>
        <w:jc w:val="both"/>
        <w:rPr>
          <w:rFonts w:ascii="Arial" w:hAnsi="Arial" w:cs="Arial"/>
          <w:lang w:val="en-PH"/>
        </w:rPr>
      </w:pPr>
    </w:p>
    <w:p w:rsidR="00145553" w:rsidRPr="00A27018" w:rsidRDefault="00145553" w:rsidP="00E63C95">
      <w:pPr>
        <w:spacing w:after="0" w:line="240" w:lineRule="auto"/>
        <w:ind w:left="360"/>
        <w:rPr>
          <w:rFonts w:ascii="Arial" w:hAnsi="Arial" w:cs="Arial"/>
        </w:rPr>
      </w:pPr>
      <w:r w:rsidRPr="00A27018">
        <w:rPr>
          <w:rFonts w:ascii="Arial" w:hAnsi="Arial" w:cs="Arial"/>
        </w:rPr>
        <w:t xml:space="preserve">We recommended </w:t>
      </w:r>
      <w:r w:rsidR="00670A98">
        <w:rPr>
          <w:rFonts w:ascii="Arial" w:hAnsi="Arial" w:cs="Arial"/>
        </w:rPr>
        <w:t>that Management:</w:t>
      </w:r>
    </w:p>
    <w:p w:rsidR="00145553" w:rsidRPr="00A27018" w:rsidRDefault="00145553" w:rsidP="00E63C95">
      <w:pPr>
        <w:spacing w:after="0" w:line="240" w:lineRule="auto"/>
        <w:ind w:left="720"/>
        <w:rPr>
          <w:rFonts w:ascii="Arial" w:hAnsi="Arial" w:cs="Arial"/>
        </w:rPr>
      </w:pPr>
    </w:p>
    <w:p w:rsidR="00145553" w:rsidRPr="00A27018" w:rsidRDefault="00670A98" w:rsidP="00E63C95">
      <w:pPr>
        <w:pStyle w:val="ListParagraph"/>
        <w:numPr>
          <w:ilvl w:val="0"/>
          <w:numId w:val="6"/>
        </w:numPr>
        <w:spacing w:after="0" w:line="240" w:lineRule="auto"/>
        <w:ind w:hanging="180"/>
        <w:jc w:val="both"/>
        <w:rPr>
          <w:rFonts w:ascii="Arial" w:hAnsi="Arial" w:cs="Arial"/>
        </w:rPr>
      </w:pPr>
      <w:r>
        <w:rPr>
          <w:rFonts w:ascii="Arial" w:hAnsi="Arial" w:cs="Arial"/>
        </w:rPr>
        <w:t>F</w:t>
      </w:r>
      <w:r w:rsidR="00145553" w:rsidRPr="00A27018">
        <w:rPr>
          <w:rFonts w:ascii="Arial" w:hAnsi="Arial" w:cs="Arial"/>
        </w:rPr>
        <w:t xml:space="preserve">ormulate, develop and install effective business policies and strategies for profitability, necessary in its trading business;  </w:t>
      </w:r>
    </w:p>
    <w:p w:rsidR="00145553" w:rsidRPr="00A27018" w:rsidRDefault="00145553" w:rsidP="00E63C95">
      <w:pPr>
        <w:spacing w:after="0" w:line="240" w:lineRule="auto"/>
        <w:ind w:left="720" w:hanging="180"/>
        <w:jc w:val="both"/>
        <w:rPr>
          <w:rFonts w:ascii="Arial" w:hAnsi="Arial" w:cs="Arial"/>
        </w:rPr>
      </w:pPr>
    </w:p>
    <w:p w:rsidR="00145553" w:rsidRPr="00A27018" w:rsidRDefault="00670A98" w:rsidP="00E63C95">
      <w:pPr>
        <w:pStyle w:val="ListParagraph"/>
        <w:numPr>
          <w:ilvl w:val="0"/>
          <w:numId w:val="6"/>
        </w:numPr>
        <w:spacing w:after="0" w:line="240" w:lineRule="auto"/>
        <w:ind w:hanging="180"/>
        <w:jc w:val="both"/>
        <w:rPr>
          <w:rFonts w:ascii="Arial" w:hAnsi="Arial" w:cs="Arial"/>
        </w:rPr>
      </w:pPr>
      <w:r>
        <w:rPr>
          <w:rFonts w:ascii="Arial" w:hAnsi="Arial" w:cs="Arial"/>
        </w:rPr>
        <w:t>C</w:t>
      </w:r>
      <w:r w:rsidR="00145553" w:rsidRPr="00A27018">
        <w:rPr>
          <w:rFonts w:ascii="Arial" w:hAnsi="Arial" w:cs="Arial"/>
        </w:rPr>
        <w:t xml:space="preserve">onduct a careful study of the prevailing market prices </w:t>
      </w:r>
      <w:r w:rsidR="00E63C95">
        <w:rPr>
          <w:rFonts w:ascii="Arial" w:hAnsi="Arial" w:cs="Arial"/>
        </w:rPr>
        <w:t xml:space="preserve">aside from the historical sources of income </w:t>
      </w:r>
      <w:r w:rsidR="00145553" w:rsidRPr="00A27018">
        <w:rPr>
          <w:rFonts w:ascii="Arial" w:hAnsi="Arial" w:cs="Arial"/>
        </w:rPr>
        <w:t xml:space="preserve">before setting and offering the selling prices to DOH so that the ABC in the procurement of products for sale may likewise be reasonably obtained; </w:t>
      </w:r>
      <w:r w:rsidR="00174A84">
        <w:rPr>
          <w:rFonts w:ascii="Arial" w:hAnsi="Arial" w:cs="Arial"/>
        </w:rPr>
        <w:t>and</w:t>
      </w:r>
    </w:p>
    <w:p w:rsidR="00145553" w:rsidRPr="00A27018" w:rsidRDefault="00145553" w:rsidP="00E63C95">
      <w:pPr>
        <w:pStyle w:val="ListParagraph"/>
        <w:spacing w:after="0" w:line="240" w:lineRule="auto"/>
        <w:ind w:hanging="180"/>
        <w:jc w:val="both"/>
        <w:rPr>
          <w:rFonts w:ascii="Arial" w:hAnsi="Arial" w:cs="Arial"/>
        </w:rPr>
      </w:pPr>
    </w:p>
    <w:p w:rsidR="00145553" w:rsidRPr="00A27018" w:rsidRDefault="00670A98" w:rsidP="00E63C95">
      <w:pPr>
        <w:pStyle w:val="ListParagraph"/>
        <w:numPr>
          <w:ilvl w:val="0"/>
          <w:numId w:val="6"/>
        </w:numPr>
        <w:spacing w:after="0" w:line="240" w:lineRule="auto"/>
        <w:ind w:hanging="180"/>
        <w:jc w:val="both"/>
        <w:rPr>
          <w:rFonts w:ascii="Arial" w:hAnsi="Arial" w:cs="Arial"/>
        </w:rPr>
      </w:pPr>
      <w:r>
        <w:rPr>
          <w:rFonts w:ascii="Arial" w:hAnsi="Arial" w:cs="Arial"/>
        </w:rPr>
        <w:t>E</w:t>
      </w:r>
      <w:r w:rsidR="00145553" w:rsidRPr="00A27018">
        <w:rPr>
          <w:rFonts w:ascii="Arial" w:hAnsi="Arial" w:cs="Arial"/>
        </w:rPr>
        <w:t>stimate a reasonable and competitive selling price and gross margin to maximize profit and consider the effect of input tax charged to cost of sales.</w:t>
      </w:r>
    </w:p>
    <w:p w:rsidR="00145553" w:rsidRPr="00A27018" w:rsidRDefault="00145553" w:rsidP="00E63C95">
      <w:pPr>
        <w:pStyle w:val="ListParagraph"/>
        <w:spacing w:after="0" w:line="240" w:lineRule="auto"/>
        <w:ind w:left="360"/>
        <w:jc w:val="both"/>
        <w:rPr>
          <w:rFonts w:ascii="Arial" w:hAnsi="Arial" w:cs="Arial"/>
        </w:rPr>
      </w:pPr>
    </w:p>
    <w:p w:rsidR="004B329E" w:rsidRPr="004B329E" w:rsidRDefault="004B329E" w:rsidP="00E63C95">
      <w:pPr>
        <w:pStyle w:val="ListParagraph"/>
        <w:numPr>
          <w:ilvl w:val="0"/>
          <w:numId w:val="5"/>
        </w:numPr>
        <w:spacing w:after="0" w:line="240" w:lineRule="auto"/>
        <w:ind w:left="360"/>
        <w:jc w:val="both"/>
        <w:rPr>
          <w:rFonts w:ascii="Arial" w:eastAsia="Times New Roman" w:hAnsi="Arial" w:cs="Arial"/>
          <w:bCs/>
          <w:iCs/>
        </w:rPr>
      </w:pPr>
      <w:r w:rsidRPr="004B329E">
        <w:rPr>
          <w:rFonts w:ascii="Arial" w:eastAsia="Times New Roman" w:hAnsi="Arial" w:cs="Arial"/>
          <w:bCs/>
          <w:iCs/>
        </w:rPr>
        <w:t>The correctness of the</w:t>
      </w:r>
      <w:r w:rsidR="00390E07" w:rsidRPr="004B329E">
        <w:rPr>
          <w:rFonts w:ascii="Arial" w:eastAsia="Times New Roman" w:hAnsi="Arial" w:cs="Arial"/>
          <w:bCs/>
          <w:iCs/>
        </w:rPr>
        <w:t xml:space="preserve"> </w:t>
      </w:r>
      <w:r w:rsidR="00390E07" w:rsidRPr="004B329E">
        <w:rPr>
          <w:rFonts w:ascii="Arial" w:hAnsi="Arial" w:cs="Arial"/>
          <w:dstrike/>
        </w:rPr>
        <w:t>P</w:t>
      </w:r>
      <w:r w:rsidR="00390E07">
        <w:rPr>
          <w:rFonts w:ascii="Arial" w:eastAsia="Times New Roman" w:hAnsi="Arial" w:cs="Arial"/>
          <w:bCs/>
          <w:iCs/>
        </w:rPr>
        <w:t>3.201</w:t>
      </w:r>
      <w:r w:rsidR="00390E07" w:rsidRPr="004B329E">
        <w:rPr>
          <w:rFonts w:ascii="Arial" w:eastAsia="Times New Roman" w:hAnsi="Arial" w:cs="Arial"/>
          <w:bCs/>
          <w:iCs/>
        </w:rPr>
        <w:t xml:space="preserve"> million</w:t>
      </w:r>
      <w:r w:rsidRPr="004B329E">
        <w:rPr>
          <w:rFonts w:ascii="Arial" w:eastAsia="Times New Roman" w:hAnsi="Arial" w:cs="Arial"/>
          <w:bCs/>
          <w:iCs/>
        </w:rPr>
        <w:t xml:space="preserve"> balance of the Merchandise Inventory </w:t>
      </w:r>
      <w:r w:rsidR="00E63C95">
        <w:rPr>
          <w:rFonts w:ascii="Arial" w:eastAsia="Times New Roman" w:hAnsi="Arial" w:cs="Arial"/>
          <w:bCs/>
          <w:iCs/>
        </w:rPr>
        <w:t xml:space="preserve">(MI) </w:t>
      </w:r>
      <w:r w:rsidRPr="004B329E">
        <w:rPr>
          <w:rFonts w:ascii="Arial" w:eastAsia="Times New Roman" w:hAnsi="Arial" w:cs="Arial"/>
          <w:bCs/>
          <w:iCs/>
        </w:rPr>
        <w:t>account cannot be ascertained due to absence of schedule as basis for inventory count, adjustments to tally the G</w:t>
      </w:r>
      <w:r w:rsidR="00E63C95">
        <w:rPr>
          <w:rFonts w:ascii="Arial" w:eastAsia="Times New Roman" w:hAnsi="Arial" w:cs="Arial"/>
          <w:bCs/>
          <w:iCs/>
        </w:rPr>
        <w:t xml:space="preserve">eneral </w:t>
      </w:r>
      <w:r w:rsidRPr="004B329E">
        <w:rPr>
          <w:rFonts w:ascii="Arial" w:eastAsia="Times New Roman" w:hAnsi="Arial" w:cs="Arial"/>
          <w:bCs/>
          <w:iCs/>
        </w:rPr>
        <w:t>L</w:t>
      </w:r>
      <w:r w:rsidR="00E63C95">
        <w:rPr>
          <w:rFonts w:ascii="Arial" w:eastAsia="Times New Roman" w:hAnsi="Arial" w:cs="Arial"/>
          <w:bCs/>
          <w:iCs/>
        </w:rPr>
        <w:t>edger (GL)</w:t>
      </w:r>
      <w:r w:rsidRPr="004B329E">
        <w:rPr>
          <w:rFonts w:ascii="Arial" w:eastAsia="Times New Roman" w:hAnsi="Arial" w:cs="Arial"/>
          <w:bCs/>
          <w:iCs/>
        </w:rPr>
        <w:t xml:space="preserve"> and S</w:t>
      </w:r>
      <w:r w:rsidR="00E63C95">
        <w:rPr>
          <w:rFonts w:ascii="Arial" w:eastAsia="Times New Roman" w:hAnsi="Arial" w:cs="Arial"/>
          <w:bCs/>
          <w:iCs/>
        </w:rPr>
        <w:t xml:space="preserve">ubsidiary </w:t>
      </w:r>
      <w:r w:rsidRPr="004B329E">
        <w:rPr>
          <w:rFonts w:ascii="Arial" w:eastAsia="Times New Roman" w:hAnsi="Arial" w:cs="Arial"/>
          <w:bCs/>
          <w:iCs/>
        </w:rPr>
        <w:t>L</w:t>
      </w:r>
      <w:r w:rsidR="00E63C95">
        <w:rPr>
          <w:rFonts w:ascii="Arial" w:eastAsia="Times New Roman" w:hAnsi="Arial" w:cs="Arial"/>
          <w:bCs/>
          <w:iCs/>
        </w:rPr>
        <w:t>edgers (SL)</w:t>
      </w:r>
      <w:r w:rsidRPr="004B329E">
        <w:rPr>
          <w:rFonts w:ascii="Arial" w:eastAsia="Times New Roman" w:hAnsi="Arial" w:cs="Arial"/>
          <w:bCs/>
          <w:iCs/>
        </w:rPr>
        <w:t xml:space="preserve"> balances with the inventory count, non-correlation of GL entries with SL entries, numerous adjustments of previous accounting entries and the lack of supporti</w:t>
      </w:r>
      <w:r w:rsidR="00E63C95">
        <w:rPr>
          <w:rFonts w:ascii="Arial" w:eastAsia="Times New Roman" w:hAnsi="Arial" w:cs="Arial"/>
          <w:bCs/>
          <w:iCs/>
        </w:rPr>
        <w:t>ng documents</w:t>
      </w:r>
      <w:r w:rsidRPr="004B329E">
        <w:rPr>
          <w:rFonts w:ascii="Arial" w:eastAsia="Times New Roman" w:hAnsi="Arial" w:cs="Arial"/>
          <w:bCs/>
          <w:iCs/>
        </w:rPr>
        <w:t>.</w:t>
      </w:r>
    </w:p>
    <w:p w:rsidR="00145553" w:rsidRDefault="00145553" w:rsidP="00E63C95">
      <w:pPr>
        <w:spacing w:after="0" w:line="240" w:lineRule="auto"/>
        <w:jc w:val="both"/>
        <w:rPr>
          <w:rFonts w:ascii="Arial" w:hAnsi="Arial" w:cs="Arial"/>
        </w:rPr>
      </w:pPr>
    </w:p>
    <w:p w:rsidR="00145553" w:rsidRPr="00A27018" w:rsidRDefault="00145553" w:rsidP="00E63C95">
      <w:pPr>
        <w:spacing w:after="0" w:line="240" w:lineRule="auto"/>
        <w:ind w:left="360"/>
        <w:jc w:val="both"/>
        <w:rPr>
          <w:rFonts w:ascii="Arial" w:eastAsia="Times New Roman" w:hAnsi="Arial" w:cs="Arial"/>
          <w:bCs/>
          <w:iCs/>
        </w:rPr>
      </w:pPr>
      <w:r w:rsidRPr="00A27018">
        <w:rPr>
          <w:rFonts w:ascii="Arial" w:eastAsia="Times New Roman" w:hAnsi="Arial" w:cs="Arial"/>
          <w:bCs/>
          <w:iCs/>
        </w:rPr>
        <w:t xml:space="preserve">We recommended that Management install a system of procedures and controls in the handling of transactions and ascertain that:     </w:t>
      </w:r>
    </w:p>
    <w:p w:rsidR="00145553" w:rsidRPr="004B329E" w:rsidRDefault="00145553" w:rsidP="00E63C95">
      <w:pPr>
        <w:spacing w:after="0" w:line="240" w:lineRule="auto"/>
        <w:ind w:left="180"/>
        <w:jc w:val="both"/>
        <w:rPr>
          <w:rFonts w:ascii="Arial" w:eastAsia="Times New Roman" w:hAnsi="Arial" w:cs="Arial"/>
          <w:bCs/>
          <w:iCs/>
        </w:rPr>
      </w:pPr>
    </w:p>
    <w:p w:rsidR="004B329E" w:rsidRPr="004B329E" w:rsidRDefault="004B329E" w:rsidP="00E63C95">
      <w:pPr>
        <w:pStyle w:val="ListParagraph"/>
        <w:numPr>
          <w:ilvl w:val="0"/>
          <w:numId w:val="9"/>
        </w:numPr>
        <w:spacing w:after="0" w:line="240" w:lineRule="auto"/>
        <w:ind w:left="810" w:hanging="270"/>
        <w:jc w:val="both"/>
        <w:rPr>
          <w:rFonts w:ascii="Arial" w:eastAsia="Times New Roman" w:hAnsi="Arial" w:cs="Arial"/>
          <w:bCs/>
          <w:iCs/>
        </w:rPr>
      </w:pPr>
      <w:r w:rsidRPr="004B329E">
        <w:rPr>
          <w:rFonts w:ascii="Arial" w:eastAsia="Times New Roman" w:hAnsi="Arial" w:cs="Arial"/>
          <w:bCs/>
          <w:iCs/>
        </w:rPr>
        <w:t>GL and SL entries are cross referenced, that is, the GL and the SL have the same document reference.  The SL may have other references for the data entries but the common reference for the GL entry should be emphasized;</w:t>
      </w:r>
    </w:p>
    <w:p w:rsidR="004B329E" w:rsidRPr="004B329E" w:rsidRDefault="004B329E" w:rsidP="00E63C95">
      <w:pPr>
        <w:pStyle w:val="ListParagraph"/>
        <w:spacing w:after="0" w:line="240" w:lineRule="auto"/>
        <w:ind w:left="1080" w:hanging="90"/>
        <w:jc w:val="both"/>
        <w:rPr>
          <w:rFonts w:ascii="Arial" w:eastAsia="Times New Roman" w:hAnsi="Arial" w:cs="Arial"/>
          <w:bCs/>
          <w:iCs/>
        </w:rPr>
      </w:pPr>
    </w:p>
    <w:p w:rsidR="004B329E" w:rsidRDefault="004B329E" w:rsidP="00E63C95">
      <w:pPr>
        <w:pStyle w:val="ListParagraph"/>
        <w:numPr>
          <w:ilvl w:val="0"/>
          <w:numId w:val="9"/>
        </w:numPr>
        <w:spacing w:after="0" w:line="240" w:lineRule="auto"/>
        <w:ind w:left="810" w:hanging="270"/>
        <w:jc w:val="both"/>
        <w:rPr>
          <w:rFonts w:ascii="Arial" w:eastAsia="Times New Roman" w:hAnsi="Arial" w:cs="Arial"/>
          <w:bCs/>
          <w:iCs/>
        </w:rPr>
      </w:pPr>
      <w:r w:rsidRPr="004B329E">
        <w:rPr>
          <w:rFonts w:ascii="Arial" w:eastAsia="Times New Roman" w:hAnsi="Arial" w:cs="Arial"/>
          <w:bCs/>
          <w:iCs/>
        </w:rPr>
        <w:t xml:space="preserve">GL entries as well as postings in the SL </w:t>
      </w:r>
      <w:r w:rsidR="00A640E7">
        <w:rPr>
          <w:rFonts w:ascii="Arial" w:eastAsia="Times New Roman" w:hAnsi="Arial" w:cs="Arial"/>
          <w:bCs/>
          <w:iCs/>
        </w:rPr>
        <w:t>are updated</w:t>
      </w:r>
      <w:r w:rsidRPr="004B329E">
        <w:rPr>
          <w:rFonts w:ascii="Arial" w:eastAsia="Times New Roman" w:hAnsi="Arial" w:cs="Arial"/>
          <w:bCs/>
          <w:iCs/>
        </w:rPr>
        <w:t xml:space="preserve"> so that the GL balance and the totals of the SL balances</w:t>
      </w:r>
      <w:r w:rsidR="00A640E7">
        <w:rPr>
          <w:rFonts w:ascii="Arial" w:eastAsia="Times New Roman" w:hAnsi="Arial" w:cs="Arial"/>
          <w:bCs/>
          <w:iCs/>
        </w:rPr>
        <w:t xml:space="preserve"> agree </w:t>
      </w:r>
      <w:r w:rsidRPr="004B329E">
        <w:rPr>
          <w:rFonts w:ascii="Arial" w:eastAsia="Times New Roman" w:hAnsi="Arial" w:cs="Arial"/>
          <w:bCs/>
          <w:iCs/>
        </w:rPr>
        <w:t xml:space="preserve"> at any given period;</w:t>
      </w:r>
    </w:p>
    <w:p w:rsidR="00A640E7" w:rsidRPr="00A640E7" w:rsidRDefault="00A640E7" w:rsidP="00A640E7">
      <w:pPr>
        <w:pStyle w:val="ListParagraph"/>
        <w:rPr>
          <w:rFonts w:ascii="Arial" w:eastAsia="Times New Roman" w:hAnsi="Arial" w:cs="Arial"/>
          <w:bCs/>
          <w:iCs/>
        </w:rPr>
      </w:pPr>
    </w:p>
    <w:p w:rsidR="00A640E7" w:rsidRPr="004B329E" w:rsidRDefault="00A640E7" w:rsidP="00A640E7">
      <w:pPr>
        <w:pStyle w:val="ListParagraph"/>
        <w:spacing w:after="0" w:line="240" w:lineRule="auto"/>
        <w:ind w:left="810"/>
        <w:jc w:val="both"/>
        <w:rPr>
          <w:rFonts w:ascii="Arial" w:eastAsia="Times New Roman" w:hAnsi="Arial" w:cs="Arial"/>
          <w:bCs/>
          <w:iCs/>
        </w:rPr>
      </w:pPr>
    </w:p>
    <w:p w:rsidR="004B329E" w:rsidRPr="004B329E" w:rsidRDefault="004B329E" w:rsidP="00E63C95">
      <w:pPr>
        <w:pStyle w:val="ListParagraph"/>
        <w:numPr>
          <w:ilvl w:val="0"/>
          <w:numId w:val="9"/>
        </w:numPr>
        <w:spacing w:after="0" w:line="240" w:lineRule="auto"/>
        <w:ind w:left="810" w:hanging="270"/>
        <w:jc w:val="both"/>
        <w:rPr>
          <w:rFonts w:ascii="Arial" w:eastAsia="Times New Roman" w:hAnsi="Arial" w:cs="Arial"/>
          <w:bCs/>
          <w:iCs/>
        </w:rPr>
      </w:pPr>
      <w:r w:rsidRPr="004B329E">
        <w:rPr>
          <w:rFonts w:ascii="Arial" w:eastAsia="Times New Roman" w:hAnsi="Arial" w:cs="Arial"/>
          <w:bCs/>
          <w:iCs/>
        </w:rPr>
        <w:t>All accounting entries are supported by adequate and valid documents;</w:t>
      </w:r>
    </w:p>
    <w:p w:rsidR="004B329E" w:rsidRPr="004B329E" w:rsidRDefault="004B329E" w:rsidP="00E63C95">
      <w:pPr>
        <w:pStyle w:val="ListParagraph"/>
        <w:spacing w:after="0" w:line="240" w:lineRule="auto"/>
        <w:ind w:left="810" w:hanging="270"/>
        <w:jc w:val="both"/>
        <w:rPr>
          <w:rFonts w:ascii="Arial" w:eastAsia="Times New Roman" w:hAnsi="Arial" w:cs="Arial"/>
          <w:bCs/>
          <w:iCs/>
        </w:rPr>
      </w:pPr>
    </w:p>
    <w:p w:rsidR="004B329E" w:rsidRPr="004B329E" w:rsidRDefault="00A640E7" w:rsidP="00E63C95">
      <w:pPr>
        <w:pStyle w:val="ListParagraph"/>
        <w:numPr>
          <w:ilvl w:val="0"/>
          <w:numId w:val="9"/>
        </w:numPr>
        <w:spacing w:after="0" w:line="240" w:lineRule="auto"/>
        <w:ind w:left="810" w:hanging="270"/>
        <w:jc w:val="both"/>
        <w:rPr>
          <w:rFonts w:ascii="Arial" w:eastAsia="Times New Roman" w:hAnsi="Arial" w:cs="Arial"/>
          <w:bCs/>
          <w:iCs/>
        </w:rPr>
      </w:pPr>
      <w:r>
        <w:rPr>
          <w:rFonts w:ascii="Arial" w:eastAsia="Times New Roman" w:hAnsi="Arial" w:cs="Arial"/>
          <w:bCs/>
          <w:iCs/>
        </w:rPr>
        <w:t>Correction of errors o</w:t>
      </w:r>
      <w:r w:rsidR="004B329E" w:rsidRPr="004B329E">
        <w:rPr>
          <w:rFonts w:ascii="Arial" w:eastAsia="Times New Roman" w:hAnsi="Arial" w:cs="Arial"/>
          <w:bCs/>
          <w:iCs/>
        </w:rPr>
        <w:t>n previous entries has to be</w:t>
      </w:r>
      <w:r>
        <w:rPr>
          <w:rFonts w:ascii="Arial" w:eastAsia="Times New Roman" w:hAnsi="Arial" w:cs="Arial"/>
          <w:bCs/>
          <w:iCs/>
        </w:rPr>
        <w:t xml:space="preserve"> done or effected</w:t>
      </w:r>
      <w:r w:rsidR="004B329E" w:rsidRPr="004B329E">
        <w:rPr>
          <w:rFonts w:ascii="Arial" w:eastAsia="Times New Roman" w:hAnsi="Arial" w:cs="Arial"/>
          <w:bCs/>
          <w:iCs/>
        </w:rPr>
        <w:t xml:space="preserve"> through a properly approved J</w:t>
      </w:r>
      <w:r>
        <w:rPr>
          <w:rFonts w:ascii="Arial" w:eastAsia="Times New Roman" w:hAnsi="Arial" w:cs="Arial"/>
          <w:bCs/>
          <w:iCs/>
        </w:rPr>
        <w:t>E</w:t>
      </w:r>
      <w:r w:rsidR="004B329E" w:rsidRPr="004B329E">
        <w:rPr>
          <w:rFonts w:ascii="Arial" w:eastAsia="Times New Roman" w:hAnsi="Arial" w:cs="Arial"/>
          <w:bCs/>
          <w:iCs/>
        </w:rPr>
        <w:t>V;</w:t>
      </w:r>
    </w:p>
    <w:p w:rsidR="004B329E" w:rsidRPr="004B329E" w:rsidRDefault="004B329E" w:rsidP="00E63C95">
      <w:pPr>
        <w:pStyle w:val="ListParagraph"/>
        <w:spacing w:after="0" w:line="240" w:lineRule="auto"/>
        <w:ind w:left="810" w:hanging="270"/>
        <w:jc w:val="both"/>
        <w:rPr>
          <w:rFonts w:ascii="Arial" w:eastAsia="Times New Roman" w:hAnsi="Arial" w:cs="Arial"/>
          <w:bCs/>
          <w:iCs/>
        </w:rPr>
      </w:pPr>
    </w:p>
    <w:p w:rsidR="004B329E" w:rsidRPr="004B329E" w:rsidRDefault="004B329E" w:rsidP="00E63C95">
      <w:pPr>
        <w:pStyle w:val="ListParagraph"/>
        <w:numPr>
          <w:ilvl w:val="0"/>
          <w:numId w:val="9"/>
        </w:numPr>
        <w:spacing w:after="0" w:line="240" w:lineRule="auto"/>
        <w:ind w:left="810" w:hanging="270"/>
        <w:jc w:val="both"/>
        <w:rPr>
          <w:rFonts w:ascii="Arial" w:eastAsia="Times New Roman" w:hAnsi="Arial" w:cs="Arial"/>
          <w:bCs/>
          <w:iCs/>
        </w:rPr>
      </w:pPr>
      <w:r w:rsidRPr="004B329E">
        <w:rPr>
          <w:rFonts w:ascii="Arial" w:eastAsia="Times New Roman" w:hAnsi="Arial" w:cs="Arial"/>
          <w:bCs/>
          <w:iCs/>
        </w:rPr>
        <w:t>Physical inventory count should always be based on a sc</w:t>
      </w:r>
      <w:r w:rsidR="00174A84">
        <w:rPr>
          <w:rFonts w:ascii="Arial" w:eastAsia="Times New Roman" w:hAnsi="Arial" w:cs="Arial"/>
          <w:bCs/>
          <w:iCs/>
        </w:rPr>
        <w:t>hedule of SL balances;</w:t>
      </w:r>
    </w:p>
    <w:p w:rsidR="004B329E" w:rsidRPr="004B329E" w:rsidRDefault="004B329E" w:rsidP="00E63C95">
      <w:pPr>
        <w:pStyle w:val="ListParagraph"/>
        <w:spacing w:after="0" w:line="240" w:lineRule="auto"/>
        <w:ind w:left="810" w:hanging="270"/>
        <w:jc w:val="both"/>
        <w:rPr>
          <w:rFonts w:ascii="Arial" w:eastAsia="Times New Roman" w:hAnsi="Arial" w:cs="Arial"/>
          <w:bCs/>
          <w:iCs/>
        </w:rPr>
      </w:pPr>
    </w:p>
    <w:p w:rsidR="004B329E" w:rsidRPr="004B329E" w:rsidRDefault="004B329E" w:rsidP="00A640E7">
      <w:pPr>
        <w:pStyle w:val="ListParagraph"/>
        <w:numPr>
          <w:ilvl w:val="0"/>
          <w:numId w:val="9"/>
        </w:numPr>
        <w:spacing w:after="0" w:line="240" w:lineRule="auto"/>
        <w:ind w:left="810" w:hanging="270"/>
        <w:jc w:val="both"/>
        <w:rPr>
          <w:rFonts w:ascii="Arial" w:eastAsia="Times New Roman" w:hAnsi="Arial" w:cs="Arial"/>
          <w:bCs/>
          <w:iCs/>
        </w:rPr>
      </w:pPr>
      <w:r w:rsidRPr="004B329E">
        <w:rPr>
          <w:rFonts w:ascii="Arial" w:eastAsia="Times New Roman" w:hAnsi="Arial" w:cs="Arial"/>
          <w:bCs/>
          <w:iCs/>
        </w:rPr>
        <w:t>Accountability for accomplished RRs as well as recording thereof is established;</w:t>
      </w:r>
      <w:r w:rsidR="00174A84">
        <w:rPr>
          <w:rFonts w:ascii="Arial" w:eastAsia="Times New Roman" w:hAnsi="Arial" w:cs="Arial"/>
          <w:bCs/>
          <w:iCs/>
        </w:rPr>
        <w:t xml:space="preserve"> and</w:t>
      </w:r>
    </w:p>
    <w:p w:rsidR="004B329E" w:rsidRPr="004B329E" w:rsidRDefault="004B329E" w:rsidP="00E63C95">
      <w:pPr>
        <w:spacing w:after="0" w:line="240" w:lineRule="auto"/>
        <w:ind w:left="810" w:hanging="270"/>
        <w:jc w:val="both"/>
        <w:rPr>
          <w:rFonts w:ascii="Arial" w:eastAsia="Times New Roman" w:hAnsi="Arial" w:cs="Arial"/>
          <w:bCs/>
          <w:iCs/>
        </w:rPr>
      </w:pPr>
    </w:p>
    <w:p w:rsidR="004B329E" w:rsidRPr="004B329E" w:rsidRDefault="004B329E" w:rsidP="00E63C95">
      <w:pPr>
        <w:pStyle w:val="ListParagraph"/>
        <w:numPr>
          <w:ilvl w:val="0"/>
          <w:numId w:val="9"/>
        </w:numPr>
        <w:spacing w:after="0" w:line="240" w:lineRule="auto"/>
        <w:ind w:left="810" w:hanging="270"/>
        <w:jc w:val="both"/>
        <w:rPr>
          <w:rFonts w:ascii="Arial" w:eastAsia="Times New Roman" w:hAnsi="Arial" w:cs="Arial"/>
          <w:bCs/>
          <w:iCs/>
        </w:rPr>
      </w:pPr>
      <w:r w:rsidRPr="004B329E">
        <w:rPr>
          <w:rFonts w:ascii="Arial" w:eastAsia="Times New Roman" w:hAnsi="Arial" w:cs="Arial"/>
          <w:bCs/>
          <w:iCs/>
        </w:rPr>
        <w:t>As previously recommended, Management:</w:t>
      </w:r>
    </w:p>
    <w:p w:rsidR="004B329E" w:rsidRPr="004B329E" w:rsidRDefault="004B329E" w:rsidP="00E63C95">
      <w:pPr>
        <w:pStyle w:val="ListParagraph"/>
        <w:spacing w:after="0" w:line="240" w:lineRule="auto"/>
        <w:ind w:left="1440"/>
        <w:jc w:val="both"/>
        <w:rPr>
          <w:rFonts w:ascii="Arial" w:eastAsia="Times New Roman" w:hAnsi="Arial" w:cs="Arial"/>
          <w:bCs/>
          <w:iCs/>
        </w:rPr>
      </w:pPr>
    </w:p>
    <w:p w:rsidR="004B329E" w:rsidRPr="004B329E" w:rsidRDefault="004B329E" w:rsidP="00E63C95">
      <w:pPr>
        <w:pStyle w:val="ListParagraph"/>
        <w:numPr>
          <w:ilvl w:val="0"/>
          <w:numId w:val="10"/>
        </w:numPr>
        <w:spacing w:after="0" w:line="240" w:lineRule="auto"/>
        <w:ind w:left="1080" w:hanging="180"/>
        <w:jc w:val="both"/>
        <w:rPr>
          <w:rFonts w:ascii="Arial" w:eastAsia="Times New Roman" w:hAnsi="Arial" w:cs="Arial"/>
          <w:bCs/>
          <w:iCs/>
        </w:rPr>
      </w:pPr>
      <w:r w:rsidRPr="004B329E">
        <w:rPr>
          <w:rFonts w:ascii="Arial" w:eastAsia="Times New Roman" w:hAnsi="Arial" w:cs="Arial"/>
          <w:bCs/>
          <w:iCs/>
        </w:rPr>
        <w:t>Maintain an automated inventory system</w:t>
      </w:r>
      <w:r w:rsidR="00A640E7">
        <w:rPr>
          <w:rFonts w:ascii="Arial" w:eastAsia="Times New Roman" w:hAnsi="Arial" w:cs="Arial"/>
          <w:bCs/>
          <w:iCs/>
        </w:rPr>
        <w:t xml:space="preserve">  if feasible</w:t>
      </w:r>
      <w:r w:rsidRPr="004B329E">
        <w:rPr>
          <w:rFonts w:ascii="Arial" w:eastAsia="Times New Roman" w:hAnsi="Arial" w:cs="Arial"/>
          <w:bCs/>
          <w:iCs/>
        </w:rPr>
        <w:t>; and</w:t>
      </w:r>
    </w:p>
    <w:p w:rsidR="004B329E" w:rsidRPr="004B329E" w:rsidRDefault="004B329E" w:rsidP="00E63C95">
      <w:pPr>
        <w:pStyle w:val="ListParagraph"/>
        <w:spacing w:after="0" w:line="240" w:lineRule="auto"/>
        <w:ind w:left="1080" w:hanging="180"/>
        <w:jc w:val="both"/>
        <w:rPr>
          <w:rFonts w:ascii="Arial" w:eastAsia="Times New Roman" w:hAnsi="Arial" w:cs="Arial"/>
          <w:bCs/>
          <w:iCs/>
        </w:rPr>
      </w:pPr>
    </w:p>
    <w:p w:rsidR="004B329E" w:rsidRPr="004B329E" w:rsidRDefault="004B329E" w:rsidP="00E63C95">
      <w:pPr>
        <w:pStyle w:val="ListParagraph"/>
        <w:numPr>
          <w:ilvl w:val="0"/>
          <w:numId w:val="10"/>
        </w:numPr>
        <w:spacing w:after="0" w:line="240" w:lineRule="auto"/>
        <w:ind w:left="1080" w:hanging="270"/>
        <w:jc w:val="both"/>
        <w:rPr>
          <w:rFonts w:ascii="Arial" w:eastAsia="Times New Roman" w:hAnsi="Arial" w:cs="Arial"/>
          <w:bCs/>
          <w:iCs/>
        </w:rPr>
      </w:pPr>
      <w:r w:rsidRPr="004B329E">
        <w:rPr>
          <w:rFonts w:ascii="Arial" w:eastAsia="Times New Roman" w:hAnsi="Arial" w:cs="Arial"/>
          <w:bCs/>
          <w:iCs/>
        </w:rPr>
        <w:t>Require the Internal Audit Department to review the existing system and recommend the necessary procedures and control measures</w:t>
      </w:r>
      <w:r>
        <w:rPr>
          <w:rFonts w:ascii="Arial" w:eastAsia="Times New Roman" w:hAnsi="Arial" w:cs="Arial"/>
          <w:bCs/>
          <w:iCs/>
        </w:rPr>
        <w:t>.</w:t>
      </w:r>
    </w:p>
    <w:p w:rsidR="00145553" w:rsidRPr="004B329E" w:rsidRDefault="00145553" w:rsidP="00E63C95">
      <w:pPr>
        <w:pStyle w:val="ListParagraph"/>
        <w:spacing w:after="0" w:line="240" w:lineRule="auto"/>
        <w:ind w:left="0"/>
        <w:jc w:val="both"/>
        <w:rPr>
          <w:rFonts w:ascii="Arial" w:eastAsia="Times New Roman" w:hAnsi="Arial" w:cs="Arial"/>
          <w:bCs/>
          <w:iCs/>
        </w:rPr>
      </w:pPr>
    </w:p>
    <w:p w:rsidR="00145553" w:rsidRPr="004B329E" w:rsidRDefault="00E63C95" w:rsidP="00E63C95">
      <w:pPr>
        <w:pStyle w:val="ListParagraph"/>
        <w:numPr>
          <w:ilvl w:val="0"/>
          <w:numId w:val="5"/>
        </w:numPr>
        <w:spacing w:after="0" w:line="240" w:lineRule="auto"/>
        <w:ind w:left="360"/>
        <w:jc w:val="both"/>
        <w:rPr>
          <w:rFonts w:ascii="Arial" w:hAnsi="Arial" w:cs="Arial"/>
        </w:rPr>
      </w:pPr>
      <w:r>
        <w:rPr>
          <w:rFonts w:ascii="Arial" w:hAnsi="Arial" w:cs="Arial"/>
        </w:rPr>
        <w:t xml:space="preserve">The procurement of three </w:t>
      </w:r>
      <w:r w:rsidR="004B329E" w:rsidRPr="004B329E">
        <w:rPr>
          <w:rFonts w:ascii="Arial" w:hAnsi="Arial" w:cs="Arial"/>
        </w:rPr>
        <w:t xml:space="preserve">units Non-Invasive Blood Pressure (NIBP) Simulator amounting to </w:t>
      </w:r>
      <w:r w:rsidR="004B329E" w:rsidRPr="004B329E">
        <w:rPr>
          <w:rFonts w:ascii="Arial" w:hAnsi="Arial" w:cs="Arial"/>
          <w:dstrike/>
        </w:rPr>
        <w:t>P</w:t>
      </w:r>
      <w:r w:rsidR="004B329E" w:rsidRPr="004B329E">
        <w:rPr>
          <w:rFonts w:ascii="Arial" w:hAnsi="Arial" w:cs="Arial"/>
        </w:rPr>
        <w:t xml:space="preserve">2.997 million was not supported by necessary documents contrary to Section 4 of Presidential Decree No. 1445 and appeared to be overpriced by </w:t>
      </w:r>
      <w:r w:rsidR="004B329E" w:rsidRPr="004B329E">
        <w:rPr>
          <w:rFonts w:ascii="Arial" w:hAnsi="Arial" w:cs="Arial"/>
          <w:dstrike/>
        </w:rPr>
        <w:t>P</w:t>
      </w:r>
      <w:r w:rsidR="004B329E" w:rsidRPr="004B329E">
        <w:rPr>
          <w:rFonts w:ascii="Arial" w:hAnsi="Arial" w:cs="Arial"/>
        </w:rPr>
        <w:t xml:space="preserve">2.504 million. </w:t>
      </w:r>
    </w:p>
    <w:p w:rsidR="00145553" w:rsidRPr="00A27018" w:rsidRDefault="00145553" w:rsidP="00E63C95">
      <w:pPr>
        <w:spacing w:after="0" w:line="240" w:lineRule="auto"/>
        <w:jc w:val="both"/>
        <w:rPr>
          <w:rFonts w:ascii="Arial" w:hAnsi="Arial" w:cs="Arial"/>
        </w:rPr>
      </w:pPr>
    </w:p>
    <w:p w:rsidR="00A27018" w:rsidRPr="00A27018" w:rsidRDefault="00A27018" w:rsidP="00E63C95">
      <w:pPr>
        <w:spacing w:after="0" w:line="240" w:lineRule="auto"/>
        <w:ind w:left="360"/>
        <w:jc w:val="both"/>
        <w:rPr>
          <w:rFonts w:ascii="Arial" w:hAnsi="Arial" w:cs="Arial"/>
          <w:lang w:val="en-PH"/>
        </w:rPr>
      </w:pPr>
      <w:r w:rsidRPr="00A27018">
        <w:rPr>
          <w:rFonts w:ascii="Arial" w:hAnsi="Arial" w:cs="Arial"/>
          <w:lang w:val="en-PH"/>
        </w:rPr>
        <w:t>We recommended that Management:</w:t>
      </w:r>
    </w:p>
    <w:p w:rsidR="00A27018" w:rsidRPr="00A27018" w:rsidRDefault="00A27018" w:rsidP="00E63C95">
      <w:pPr>
        <w:spacing w:after="0" w:line="240" w:lineRule="auto"/>
        <w:jc w:val="both"/>
        <w:rPr>
          <w:rFonts w:ascii="Arial" w:hAnsi="Arial" w:cs="Arial"/>
          <w:lang w:val="en-PH"/>
        </w:rPr>
      </w:pPr>
    </w:p>
    <w:p w:rsidR="004B329E" w:rsidRPr="004B329E" w:rsidRDefault="004B329E" w:rsidP="00E63C95">
      <w:pPr>
        <w:pStyle w:val="ListParagraph"/>
        <w:numPr>
          <w:ilvl w:val="0"/>
          <w:numId w:val="14"/>
        </w:numPr>
        <w:spacing w:after="0" w:line="240" w:lineRule="auto"/>
        <w:ind w:left="810" w:hanging="270"/>
        <w:jc w:val="both"/>
        <w:rPr>
          <w:rFonts w:ascii="Arial" w:hAnsi="Arial" w:cs="Arial"/>
        </w:rPr>
      </w:pPr>
      <w:r w:rsidRPr="004B329E">
        <w:rPr>
          <w:rFonts w:ascii="Arial" w:hAnsi="Arial" w:cs="Arial"/>
        </w:rPr>
        <w:t>Submit documents to justify the procurement of the three NIBP units prior to receipt of the DOH PO on October 27, 2015;</w:t>
      </w:r>
    </w:p>
    <w:p w:rsidR="004B329E" w:rsidRPr="004B329E" w:rsidRDefault="004B329E" w:rsidP="00E63C95">
      <w:pPr>
        <w:spacing w:after="0" w:line="240" w:lineRule="auto"/>
        <w:ind w:left="810" w:hanging="270"/>
        <w:jc w:val="both"/>
        <w:rPr>
          <w:rFonts w:ascii="Arial" w:hAnsi="Arial" w:cs="Arial"/>
        </w:rPr>
      </w:pPr>
    </w:p>
    <w:p w:rsidR="004B329E" w:rsidRPr="004B329E" w:rsidRDefault="004B329E" w:rsidP="00E63C95">
      <w:pPr>
        <w:pStyle w:val="ListParagraph"/>
        <w:numPr>
          <w:ilvl w:val="0"/>
          <w:numId w:val="14"/>
        </w:numPr>
        <w:spacing w:after="0" w:line="240" w:lineRule="auto"/>
        <w:ind w:left="810" w:hanging="270"/>
        <w:jc w:val="both"/>
        <w:rPr>
          <w:rFonts w:ascii="Arial" w:hAnsi="Arial" w:cs="Arial"/>
        </w:rPr>
      </w:pPr>
      <w:r w:rsidRPr="004B329E">
        <w:rPr>
          <w:rFonts w:ascii="Arial" w:hAnsi="Arial" w:cs="Arial"/>
        </w:rPr>
        <w:t xml:space="preserve">Prove reasonableness of the price of </w:t>
      </w:r>
      <w:r w:rsidRPr="004B329E">
        <w:rPr>
          <w:rFonts w:ascii="Arial" w:hAnsi="Arial" w:cs="Arial"/>
          <w:dstrike/>
        </w:rPr>
        <w:t>P</w:t>
      </w:r>
      <w:r w:rsidR="00C01226">
        <w:rPr>
          <w:rFonts w:ascii="Arial" w:hAnsi="Arial" w:cs="Arial"/>
        </w:rPr>
        <w:t>2.997 million</w:t>
      </w:r>
      <w:r w:rsidRPr="004B329E">
        <w:rPr>
          <w:rFonts w:ascii="Arial" w:hAnsi="Arial" w:cs="Arial"/>
        </w:rPr>
        <w:t xml:space="preserve"> paid for the three units NIBP;</w:t>
      </w:r>
    </w:p>
    <w:p w:rsidR="004B329E" w:rsidRPr="004B329E" w:rsidRDefault="004B329E" w:rsidP="00E63C95">
      <w:pPr>
        <w:spacing w:after="0" w:line="240" w:lineRule="auto"/>
        <w:ind w:left="810" w:hanging="270"/>
        <w:rPr>
          <w:rFonts w:ascii="Arial" w:hAnsi="Arial" w:cs="Arial"/>
        </w:rPr>
      </w:pPr>
    </w:p>
    <w:p w:rsidR="004B329E" w:rsidRPr="004B329E" w:rsidRDefault="004B329E" w:rsidP="00E63C95">
      <w:pPr>
        <w:pStyle w:val="ListParagraph"/>
        <w:numPr>
          <w:ilvl w:val="0"/>
          <w:numId w:val="14"/>
        </w:numPr>
        <w:spacing w:after="0" w:line="240" w:lineRule="auto"/>
        <w:ind w:left="810" w:hanging="270"/>
        <w:jc w:val="both"/>
        <w:rPr>
          <w:rFonts w:ascii="Arial" w:hAnsi="Arial" w:cs="Arial"/>
        </w:rPr>
      </w:pPr>
      <w:r w:rsidRPr="004B329E">
        <w:rPr>
          <w:rFonts w:ascii="Arial" w:hAnsi="Arial" w:cs="Arial"/>
        </w:rPr>
        <w:t xml:space="preserve">Submit proof of payment by </w:t>
      </w:r>
      <w:r w:rsidR="00A640E7">
        <w:rPr>
          <w:rFonts w:ascii="Arial" w:hAnsi="Arial" w:cs="Arial"/>
        </w:rPr>
        <w:t xml:space="preserve">the </w:t>
      </w:r>
      <w:r w:rsidRPr="004B329E">
        <w:rPr>
          <w:rFonts w:ascii="Arial" w:hAnsi="Arial" w:cs="Arial"/>
        </w:rPr>
        <w:t xml:space="preserve">supplier of taxes/customs duties on the importation </w:t>
      </w:r>
      <w:r w:rsidR="00A640E7">
        <w:rPr>
          <w:rFonts w:ascii="Arial" w:hAnsi="Arial" w:cs="Arial"/>
        </w:rPr>
        <w:t>of the NIBP units as required in</w:t>
      </w:r>
      <w:r w:rsidRPr="004B329E">
        <w:rPr>
          <w:rFonts w:ascii="Arial" w:hAnsi="Arial" w:cs="Arial"/>
        </w:rPr>
        <w:t xml:space="preserve"> Administrative Order No. 200; and</w:t>
      </w:r>
    </w:p>
    <w:p w:rsidR="004B329E" w:rsidRPr="004B329E" w:rsidRDefault="004B329E" w:rsidP="00E63C95">
      <w:pPr>
        <w:pStyle w:val="ListParagraph"/>
        <w:spacing w:after="0" w:line="240" w:lineRule="auto"/>
        <w:ind w:left="810" w:hanging="270"/>
        <w:rPr>
          <w:rFonts w:ascii="Arial" w:hAnsi="Arial" w:cs="Arial"/>
        </w:rPr>
      </w:pPr>
    </w:p>
    <w:p w:rsidR="00A27018" w:rsidRPr="004B329E" w:rsidRDefault="004B329E" w:rsidP="00E63C95">
      <w:pPr>
        <w:pStyle w:val="ListParagraph"/>
        <w:numPr>
          <w:ilvl w:val="0"/>
          <w:numId w:val="14"/>
        </w:numPr>
        <w:spacing w:after="0" w:line="240" w:lineRule="auto"/>
        <w:ind w:left="810" w:hanging="270"/>
        <w:jc w:val="both"/>
        <w:rPr>
          <w:rFonts w:ascii="Arial" w:hAnsi="Arial" w:cs="Arial"/>
        </w:rPr>
      </w:pPr>
      <w:r w:rsidRPr="004B329E">
        <w:rPr>
          <w:rFonts w:ascii="Arial" w:hAnsi="Arial" w:cs="Arial"/>
        </w:rPr>
        <w:t xml:space="preserve">Require the supplier to post a special bank guaranty equivalent to at least </w:t>
      </w:r>
      <w:r w:rsidRPr="004B329E">
        <w:rPr>
          <w:rFonts w:ascii="Arial" w:hAnsi="Arial" w:cs="Arial"/>
          <w:dstrike/>
        </w:rPr>
        <w:t>P</w:t>
      </w:r>
      <w:r w:rsidRPr="004B329E">
        <w:rPr>
          <w:rFonts w:ascii="Arial" w:hAnsi="Arial" w:cs="Arial"/>
        </w:rPr>
        <w:t>299,700.</w:t>
      </w:r>
    </w:p>
    <w:p w:rsidR="00145553" w:rsidRDefault="00145553" w:rsidP="00E63C95">
      <w:pPr>
        <w:spacing w:after="0" w:line="240" w:lineRule="auto"/>
        <w:jc w:val="both"/>
        <w:rPr>
          <w:rFonts w:ascii="Arial" w:hAnsi="Arial" w:cs="Arial"/>
        </w:rPr>
      </w:pPr>
    </w:p>
    <w:p w:rsidR="0092403B" w:rsidRDefault="0092403B" w:rsidP="00E63C95">
      <w:pPr>
        <w:spacing w:after="0" w:line="240" w:lineRule="auto"/>
        <w:jc w:val="both"/>
        <w:rPr>
          <w:rFonts w:ascii="Arial" w:hAnsi="Arial" w:cs="Arial"/>
        </w:rPr>
      </w:pPr>
    </w:p>
    <w:p w:rsidR="0092403B" w:rsidRPr="0092403B" w:rsidRDefault="00670A98" w:rsidP="00E63C95">
      <w:pPr>
        <w:spacing w:after="0" w:line="240" w:lineRule="auto"/>
        <w:jc w:val="both"/>
        <w:rPr>
          <w:rFonts w:ascii="Arial" w:hAnsi="Arial" w:cs="Arial"/>
          <w:b/>
        </w:rPr>
      </w:pPr>
      <w:r>
        <w:rPr>
          <w:rFonts w:ascii="Arial" w:hAnsi="Arial" w:cs="Arial"/>
          <w:b/>
        </w:rPr>
        <w:t>Summary of Total</w:t>
      </w:r>
      <w:r w:rsidR="0092403B" w:rsidRPr="0092403B">
        <w:rPr>
          <w:rFonts w:ascii="Arial" w:hAnsi="Arial" w:cs="Arial"/>
          <w:b/>
        </w:rPr>
        <w:t xml:space="preserve"> Suspensions, Disallowances and Charges as of </w:t>
      </w:r>
      <w:r>
        <w:rPr>
          <w:rFonts w:ascii="Arial" w:hAnsi="Arial" w:cs="Arial"/>
          <w:b/>
        </w:rPr>
        <w:t>Y</w:t>
      </w:r>
      <w:r w:rsidR="0092403B" w:rsidRPr="0092403B">
        <w:rPr>
          <w:rFonts w:ascii="Arial" w:hAnsi="Arial" w:cs="Arial"/>
          <w:b/>
        </w:rPr>
        <w:t>ear-</w:t>
      </w:r>
      <w:r>
        <w:rPr>
          <w:rFonts w:ascii="Arial" w:hAnsi="Arial" w:cs="Arial"/>
          <w:b/>
        </w:rPr>
        <w:t>E</w:t>
      </w:r>
      <w:r w:rsidR="0092403B" w:rsidRPr="0092403B">
        <w:rPr>
          <w:rFonts w:ascii="Arial" w:hAnsi="Arial" w:cs="Arial"/>
          <w:b/>
        </w:rPr>
        <w:t>nd</w:t>
      </w:r>
    </w:p>
    <w:p w:rsidR="0092403B" w:rsidRDefault="0092403B" w:rsidP="00E63C95">
      <w:pPr>
        <w:spacing w:after="0" w:line="240" w:lineRule="auto"/>
        <w:jc w:val="both"/>
        <w:rPr>
          <w:rFonts w:ascii="Arial" w:hAnsi="Arial" w:cs="Arial"/>
        </w:rPr>
      </w:pPr>
    </w:p>
    <w:p w:rsidR="007B7B76" w:rsidRDefault="0092403B" w:rsidP="00E63C95">
      <w:pPr>
        <w:spacing w:after="0" w:line="240" w:lineRule="auto"/>
        <w:jc w:val="both"/>
        <w:rPr>
          <w:rFonts w:ascii="Arial" w:hAnsi="Arial" w:cs="Arial"/>
        </w:rPr>
      </w:pPr>
      <w:r>
        <w:rPr>
          <w:rFonts w:ascii="Arial" w:hAnsi="Arial" w:cs="Arial"/>
        </w:rPr>
        <w:t>As of December 31, 2015, there are no unsettled audit suspensions, disallowances and charges.</w:t>
      </w:r>
    </w:p>
    <w:p w:rsidR="00D4306C" w:rsidRDefault="00D4306C" w:rsidP="00E63C95">
      <w:pPr>
        <w:spacing w:after="0" w:line="240" w:lineRule="auto"/>
        <w:jc w:val="both"/>
        <w:rPr>
          <w:rFonts w:ascii="Arial" w:hAnsi="Arial" w:cs="Arial"/>
          <w:b/>
        </w:rPr>
      </w:pPr>
    </w:p>
    <w:p w:rsidR="00D4306C" w:rsidRDefault="00D4306C" w:rsidP="00E63C95">
      <w:pPr>
        <w:spacing w:after="0" w:line="240" w:lineRule="auto"/>
        <w:jc w:val="both"/>
        <w:rPr>
          <w:rFonts w:ascii="Arial" w:hAnsi="Arial" w:cs="Arial"/>
          <w:b/>
        </w:rPr>
      </w:pPr>
    </w:p>
    <w:p w:rsidR="0092403B" w:rsidRPr="0092403B" w:rsidRDefault="0092403B" w:rsidP="00E63C95">
      <w:pPr>
        <w:spacing w:after="0" w:line="240" w:lineRule="auto"/>
        <w:jc w:val="both"/>
        <w:rPr>
          <w:rFonts w:ascii="Arial" w:hAnsi="Arial" w:cs="Arial"/>
          <w:b/>
        </w:rPr>
      </w:pPr>
      <w:r w:rsidRPr="0092403B">
        <w:rPr>
          <w:rFonts w:ascii="Arial" w:hAnsi="Arial" w:cs="Arial"/>
          <w:b/>
        </w:rPr>
        <w:t>Status of Implementation of Prior Year’s Audit Recommendations</w:t>
      </w:r>
    </w:p>
    <w:p w:rsidR="0092403B" w:rsidRDefault="0092403B" w:rsidP="00E63C95">
      <w:pPr>
        <w:spacing w:after="0" w:line="240" w:lineRule="auto"/>
        <w:jc w:val="both"/>
        <w:rPr>
          <w:rFonts w:ascii="Arial" w:hAnsi="Arial" w:cs="Arial"/>
        </w:rPr>
      </w:pPr>
    </w:p>
    <w:p w:rsidR="0092403B" w:rsidRPr="00500D84" w:rsidRDefault="0092403B" w:rsidP="00E63C95">
      <w:pPr>
        <w:spacing w:after="0" w:line="240" w:lineRule="auto"/>
        <w:jc w:val="both"/>
        <w:rPr>
          <w:rFonts w:ascii="Arial" w:hAnsi="Arial" w:cs="Arial"/>
        </w:rPr>
      </w:pPr>
      <w:r>
        <w:rPr>
          <w:rFonts w:ascii="Arial" w:hAnsi="Arial" w:cs="Arial"/>
        </w:rPr>
        <w:t>Of t</w:t>
      </w:r>
      <w:r w:rsidRPr="00A7653F">
        <w:rPr>
          <w:rFonts w:ascii="Arial" w:hAnsi="Arial" w:cs="Arial"/>
        </w:rPr>
        <w:t xml:space="preserve">he </w:t>
      </w:r>
      <w:r>
        <w:rPr>
          <w:rFonts w:ascii="Arial" w:hAnsi="Arial" w:cs="Arial"/>
        </w:rPr>
        <w:t xml:space="preserve">16 </w:t>
      </w:r>
      <w:r w:rsidRPr="00A7653F">
        <w:rPr>
          <w:rFonts w:ascii="Arial" w:hAnsi="Arial" w:cs="Arial"/>
        </w:rPr>
        <w:t>audit recommendations embodied in last year’s Annual Audit Report</w:t>
      </w:r>
      <w:r w:rsidR="00AD0D8C">
        <w:rPr>
          <w:rFonts w:ascii="Arial" w:hAnsi="Arial" w:cs="Arial"/>
        </w:rPr>
        <w:t>, two</w:t>
      </w:r>
      <w:r>
        <w:rPr>
          <w:rFonts w:ascii="Arial" w:hAnsi="Arial" w:cs="Arial"/>
        </w:rPr>
        <w:t xml:space="preserve"> were fully implemented, 10 </w:t>
      </w:r>
      <w:r w:rsidR="00AD0D8C">
        <w:rPr>
          <w:rFonts w:ascii="Arial" w:hAnsi="Arial" w:cs="Arial"/>
        </w:rPr>
        <w:t xml:space="preserve">were partially implemented and </w:t>
      </w:r>
      <w:r w:rsidR="00E63C95">
        <w:rPr>
          <w:rFonts w:ascii="Arial" w:hAnsi="Arial" w:cs="Arial"/>
        </w:rPr>
        <w:t>four</w:t>
      </w:r>
      <w:r w:rsidR="00E63C95" w:rsidRPr="00A7653F">
        <w:rPr>
          <w:rFonts w:ascii="Arial" w:hAnsi="Arial" w:cs="Arial"/>
        </w:rPr>
        <w:t xml:space="preserve"> were</w:t>
      </w:r>
      <w:r>
        <w:rPr>
          <w:rFonts w:ascii="Arial" w:hAnsi="Arial" w:cs="Arial"/>
        </w:rPr>
        <w:t xml:space="preserve"> not </w:t>
      </w:r>
      <w:r w:rsidRPr="00A7653F">
        <w:rPr>
          <w:rFonts w:ascii="Arial" w:hAnsi="Arial" w:cs="Arial"/>
        </w:rPr>
        <w:t>implemented.</w:t>
      </w:r>
    </w:p>
    <w:sectPr w:rsidR="0092403B" w:rsidRPr="00500D84" w:rsidSect="00E63C95">
      <w:footerReference w:type="default" r:id="rId7"/>
      <w:pgSz w:w="12240" w:h="15840" w:code="1"/>
      <w:pgMar w:top="1440" w:right="1440"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465" w:rsidRDefault="00EF7465" w:rsidP="0092403B">
      <w:pPr>
        <w:spacing w:after="0" w:line="240" w:lineRule="auto"/>
      </w:pPr>
      <w:r>
        <w:separator/>
      </w:r>
    </w:p>
  </w:endnote>
  <w:endnote w:type="continuationSeparator" w:id="0">
    <w:p w:rsidR="00EF7465" w:rsidRDefault="00EF7465" w:rsidP="0092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346295"/>
      <w:docPartObj>
        <w:docPartGallery w:val="Page Numbers (Bottom of Page)"/>
        <w:docPartUnique/>
      </w:docPartObj>
    </w:sdtPr>
    <w:sdtEndPr>
      <w:rPr>
        <w:noProof/>
      </w:rPr>
    </w:sdtEndPr>
    <w:sdtContent>
      <w:p w:rsidR="0092403B" w:rsidRDefault="007B3B77">
        <w:pPr>
          <w:pStyle w:val="Footer"/>
          <w:jc w:val="right"/>
        </w:pPr>
        <w:r w:rsidRPr="0058512A">
          <w:rPr>
            <w:rFonts w:ascii="Arial" w:hAnsi="Arial" w:cs="Arial"/>
            <w:sz w:val="20"/>
            <w:szCs w:val="20"/>
          </w:rPr>
          <w:fldChar w:fldCharType="begin"/>
        </w:r>
        <w:r w:rsidR="0092403B" w:rsidRPr="0058512A">
          <w:rPr>
            <w:rFonts w:ascii="Arial" w:hAnsi="Arial" w:cs="Arial"/>
            <w:sz w:val="20"/>
            <w:szCs w:val="20"/>
          </w:rPr>
          <w:instrText xml:space="preserve"> PAGE   \* MERGEFORMAT </w:instrText>
        </w:r>
        <w:r w:rsidRPr="0058512A">
          <w:rPr>
            <w:rFonts w:ascii="Arial" w:hAnsi="Arial" w:cs="Arial"/>
            <w:sz w:val="20"/>
            <w:szCs w:val="20"/>
          </w:rPr>
          <w:fldChar w:fldCharType="separate"/>
        </w:r>
        <w:r w:rsidR="008A000E">
          <w:rPr>
            <w:rFonts w:ascii="Arial" w:hAnsi="Arial" w:cs="Arial"/>
            <w:noProof/>
            <w:sz w:val="20"/>
            <w:szCs w:val="20"/>
          </w:rPr>
          <w:t>i</w:t>
        </w:r>
        <w:r w:rsidRPr="0058512A">
          <w:rPr>
            <w:rFonts w:ascii="Arial" w:hAnsi="Arial" w:cs="Arial"/>
            <w:noProof/>
            <w:sz w:val="20"/>
            <w:szCs w:val="20"/>
          </w:rPr>
          <w:fldChar w:fldCharType="end"/>
        </w:r>
      </w:p>
    </w:sdtContent>
  </w:sdt>
  <w:p w:rsidR="0092403B" w:rsidRDefault="00924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465" w:rsidRDefault="00EF7465" w:rsidP="0092403B">
      <w:pPr>
        <w:spacing w:after="0" w:line="240" w:lineRule="auto"/>
      </w:pPr>
      <w:r>
        <w:separator/>
      </w:r>
    </w:p>
  </w:footnote>
  <w:footnote w:type="continuationSeparator" w:id="0">
    <w:p w:rsidR="00EF7465" w:rsidRDefault="00EF7465" w:rsidP="00924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2784"/>
    <w:multiLevelType w:val="hybridMultilevel"/>
    <w:tmpl w:val="603E839C"/>
    <w:lvl w:ilvl="0" w:tplc="D7CAF31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8325DF0"/>
    <w:multiLevelType w:val="hybridMultilevel"/>
    <w:tmpl w:val="EEE2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615A8"/>
    <w:multiLevelType w:val="hybridMultilevel"/>
    <w:tmpl w:val="7E504686"/>
    <w:lvl w:ilvl="0" w:tplc="6CC42EC4">
      <w:start w:val="1"/>
      <w:numFmt w:val="decimal"/>
      <w:lvlText w:val="3.%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75DAB"/>
    <w:multiLevelType w:val="multilevel"/>
    <w:tmpl w:val="E760DA16"/>
    <w:lvl w:ilvl="0">
      <w:start w:val="1"/>
      <w:numFmt w:val="decimal"/>
      <w:lvlText w:val="1.%1"/>
      <w:lvlJc w:val="right"/>
      <w:pPr>
        <w:ind w:left="135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390" w:hanging="1800"/>
      </w:pPr>
      <w:rPr>
        <w:rFonts w:hint="default"/>
      </w:rPr>
    </w:lvl>
  </w:abstractNum>
  <w:abstractNum w:abstractNumId="4" w15:restartNumberingAfterBreak="0">
    <w:nsid w:val="257771FF"/>
    <w:multiLevelType w:val="hybridMultilevel"/>
    <w:tmpl w:val="42BCA592"/>
    <w:lvl w:ilvl="0" w:tplc="AF1A1A8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438F2"/>
    <w:multiLevelType w:val="hybridMultilevel"/>
    <w:tmpl w:val="900ED1D2"/>
    <w:lvl w:ilvl="0" w:tplc="C8D8B75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9A2F41"/>
    <w:multiLevelType w:val="hybridMultilevel"/>
    <w:tmpl w:val="2CDC5E0E"/>
    <w:lvl w:ilvl="0" w:tplc="AF1A1A8E">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153A34"/>
    <w:multiLevelType w:val="hybridMultilevel"/>
    <w:tmpl w:val="248C5C42"/>
    <w:lvl w:ilvl="0" w:tplc="FAE819F6">
      <w:start w:val="6"/>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8504A1"/>
    <w:multiLevelType w:val="hybridMultilevel"/>
    <w:tmpl w:val="F6E09A04"/>
    <w:lvl w:ilvl="0" w:tplc="4686FF2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CE75E0"/>
    <w:multiLevelType w:val="hybridMultilevel"/>
    <w:tmpl w:val="D21877D2"/>
    <w:lvl w:ilvl="0" w:tplc="AF1A1A8E">
      <w:start w:val="1"/>
      <w:numFmt w:val="lowerLetter"/>
      <w:lvlText w:val="%1."/>
      <w:lvlJc w:val="righ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48DB4582"/>
    <w:multiLevelType w:val="hybridMultilevel"/>
    <w:tmpl w:val="7C705CF8"/>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1" w15:restartNumberingAfterBreak="0">
    <w:nsid w:val="4E666DB4"/>
    <w:multiLevelType w:val="hybridMultilevel"/>
    <w:tmpl w:val="A74A428A"/>
    <w:lvl w:ilvl="0" w:tplc="D7CAF3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BA7AC6"/>
    <w:multiLevelType w:val="hybridMultilevel"/>
    <w:tmpl w:val="95FA01BA"/>
    <w:lvl w:ilvl="0" w:tplc="AF1A1A8E">
      <w:start w:val="1"/>
      <w:numFmt w:val="lowerLetter"/>
      <w:lvlText w:val="%1."/>
      <w:lvlJc w:val="right"/>
      <w:pPr>
        <w:ind w:left="23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86D5A"/>
    <w:multiLevelType w:val="multilevel"/>
    <w:tmpl w:val="11402CC2"/>
    <w:lvl w:ilvl="0">
      <w:start w:val="1"/>
      <w:numFmt w:val="lowerLetter"/>
      <w:lvlText w:val="%1."/>
      <w:lvlJc w:val="left"/>
      <w:pPr>
        <w:ind w:left="1350" w:hanging="360"/>
      </w:pPr>
      <w:rPr>
        <w:rFonts w:hint="default"/>
        <w:b w:val="0"/>
      </w:rPr>
    </w:lvl>
    <w:lvl w:ilvl="1">
      <w:start w:val="1"/>
      <w:numFmt w:val="decimal"/>
      <w:isLgl/>
      <w:lvlText w:val="%1.%2"/>
      <w:lvlJc w:val="left"/>
      <w:pPr>
        <w:ind w:left="2160"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390" w:hanging="1800"/>
      </w:pPr>
      <w:rPr>
        <w:rFonts w:hint="default"/>
      </w:rPr>
    </w:lvl>
  </w:abstractNum>
  <w:abstractNum w:abstractNumId="14" w15:restartNumberingAfterBreak="0">
    <w:nsid w:val="570D5005"/>
    <w:multiLevelType w:val="hybridMultilevel"/>
    <w:tmpl w:val="D8A81D6E"/>
    <w:lvl w:ilvl="0" w:tplc="2C0AEF86">
      <w:start w:val="1"/>
      <w:numFmt w:val="decimal"/>
      <w:lvlText w:val="4.%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1B31A5"/>
    <w:multiLevelType w:val="hybridMultilevel"/>
    <w:tmpl w:val="375E9972"/>
    <w:lvl w:ilvl="0" w:tplc="CAC0BD7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46FD5"/>
    <w:multiLevelType w:val="hybridMultilevel"/>
    <w:tmpl w:val="047E95E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60352245"/>
    <w:multiLevelType w:val="hybridMultilevel"/>
    <w:tmpl w:val="BDDC3828"/>
    <w:lvl w:ilvl="0" w:tplc="C58295AE">
      <w:start w:val="5"/>
      <w:numFmt w:val="decimal"/>
      <w:lvlText w:val="2.%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2F1720"/>
    <w:multiLevelType w:val="hybridMultilevel"/>
    <w:tmpl w:val="CE842A5E"/>
    <w:lvl w:ilvl="0" w:tplc="FFEEFD8E">
      <w:start w:val="9"/>
      <w:numFmt w:val="decimal"/>
      <w:lvlText w:val="3.%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F685E"/>
    <w:multiLevelType w:val="hybridMultilevel"/>
    <w:tmpl w:val="A78E6B4A"/>
    <w:lvl w:ilvl="0" w:tplc="DC02E158">
      <w:start w:val="9"/>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7AC6462D"/>
    <w:multiLevelType w:val="hybridMultilevel"/>
    <w:tmpl w:val="DEC6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1"/>
  </w:num>
  <w:num w:numId="5">
    <w:abstractNumId w:val="15"/>
  </w:num>
  <w:num w:numId="6">
    <w:abstractNumId w:val="6"/>
  </w:num>
  <w:num w:numId="7">
    <w:abstractNumId w:val="17"/>
  </w:num>
  <w:num w:numId="8">
    <w:abstractNumId w:val="7"/>
  </w:num>
  <w:num w:numId="9">
    <w:abstractNumId w:val="12"/>
  </w:num>
  <w:num w:numId="10">
    <w:abstractNumId w:val="0"/>
  </w:num>
  <w:num w:numId="11">
    <w:abstractNumId w:val="18"/>
  </w:num>
  <w:num w:numId="12">
    <w:abstractNumId w:val="2"/>
  </w:num>
  <w:num w:numId="13">
    <w:abstractNumId w:val="14"/>
  </w:num>
  <w:num w:numId="14">
    <w:abstractNumId w:val="9"/>
  </w:num>
  <w:num w:numId="15">
    <w:abstractNumId w:val="16"/>
  </w:num>
  <w:num w:numId="16">
    <w:abstractNumId w:val="1"/>
  </w:num>
  <w:num w:numId="17">
    <w:abstractNumId w:val="10"/>
  </w:num>
  <w:num w:numId="18">
    <w:abstractNumId w:val="20"/>
  </w:num>
  <w:num w:numId="19">
    <w:abstractNumId w:val="19"/>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029kBayHQD+Xcl00L0OYoMLJNwPDPy3BIdLcnIRL0zxeUpYrcOu+nDVaRBx7Nd+iYKQsJcGAYXITgONMFzlcg==" w:salt="9UOyzJ7dq7HRhWQeMb9/f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D84"/>
    <w:rsid w:val="00000FE8"/>
    <w:rsid w:val="00071CFE"/>
    <w:rsid w:val="000851EB"/>
    <w:rsid w:val="000A410A"/>
    <w:rsid w:val="000F0F62"/>
    <w:rsid w:val="00145553"/>
    <w:rsid w:val="00161F50"/>
    <w:rsid w:val="00174A84"/>
    <w:rsid w:val="002216C8"/>
    <w:rsid w:val="002D0B04"/>
    <w:rsid w:val="0031535F"/>
    <w:rsid w:val="00373FC3"/>
    <w:rsid w:val="00390E07"/>
    <w:rsid w:val="003D664B"/>
    <w:rsid w:val="00432414"/>
    <w:rsid w:val="0048365E"/>
    <w:rsid w:val="004B329E"/>
    <w:rsid w:val="004D11A4"/>
    <w:rsid w:val="00500D84"/>
    <w:rsid w:val="00501F98"/>
    <w:rsid w:val="00542B8B"/>
    <w:rsid w:val="00552B4A"/>
    <w:rsid w:val="0058512A"/>
    <w:rsid w:val="0059307F"/>
    <w:rsid w:val="005B684F"/>
    <w:rsid w:val="00636702"/>
    <w:rsid w:val="00670A98"/>
    <w:rsid w:val="0070099F"/>
    <w:rsid w:val="007B2130"/>
    <w:rsid w:val="007B3B77"/>
    <w:rsid w:val="007B7B76"/>
    <w:rsid w:val="007C03CD"/>
    <w:rsid w:val="007F2D91"/>
    <w:rsid w:val="008430D6"/>
    <w:rsid w:val="008A000E"/>
    <w:rsid w:val="008A3015"/>
    <w:rsid w:val="00921709"/>
    <w:rsid w:val="0092403B"/>
    <w:rsid w:val="009319E1"/>
    <w:rsid w:val="00973BA7"/>
    <w:rsid w:val="009A00DC"/>
    <w:rsid w:val="009E5FD1"/>
    <w:rsid w:val="00A128CD"/>
    <w:rsid w:val="00A27017"/>
    <w:rsid w:val="00A27018"/>
    <w:rsid w:val="00A640E7"/>
    <w:rsid w:val="00A95B93"/>
    <w:rsid w:val="00AB045F"/>
    <w:rsid w:val="00AD0D8C"/>
    <w:rsid w:val="00AE1C66"/>
    <w:rsid w:val="00B21E18"/>
    <w:rsid w:val="00B4064C"/>
    <w:rsid w:val="00B84438"/>
    <w:rsid w:val="00BB6A36"/>
    <w:rsid w:val="00C007AC"/>
    <w:rsid w:val="00C01226"/>
    <w:rsid w:val="00C37B2B"/>
    <w:rsid w:val="00C81338"/>
    <w:rsid w:val="00C914FB"/>
    <w:rsid w:val="00CF723A"/>
    <w:rsid w:val="00D4306C"/>
    <w:rsid w:val="00D72C8E"/>
    <w:rsid w:val="00D77E7F"/>
    <w:rsid w:val="00D8639D"/>
    <w:rsid w:val="00E63C95"/>
    <w:rsid w:val="00EB6992"/>
    <w:rsid w:val="00EE7D96"/>
    <w:rsid w:val="00EF7465"/>
    <w:rsid w:val="00F63642"/>
    <w:rsid w:val="00FD177C"/>
    <w:rsid w:val="00FE5FAA"/>
    <w:rsid w:val="00FF4A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BD36E61-1DF2-47C4-8EAD-C4085F8E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553"/>
    <w:pPr>
      <w:ind w:left="720"/>
      <w:contextualSpacing/>
    </w:pPr>
    <w:rPr>
      <w:rFonts w:ascii="Calibri" w:eastAsia="Calibri" w:hAnsi="Calibri" w:cs="Times New Roman"/>
      <w:lang w:val="en-PH"/>
    </w:rPr>
  </w:style>
  <w:style w:type="paragraph" w:styleId="Header">
    <w:name w:val="header"/>
    <w:basedOn w:val="Normal"/>
    <w:link w:val="HeaderChar"/>
    <w:uiPriority w:val="99"/>
    <w:unhideWhenUsed/>
    <w:rsid w:val="00924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03B"/>
  </w:style>
  <w:style w:type="paragraph" w:styleId="Footer">
    <w:name w:val="footer"/>
    <w:basedOn w:val="Normal"/>
    <w:link w:val="FooterChar"/>
    <w:uiPriority w:val="99"/>
    <w:unhideWhenUsed/>
    <w:rsid w:val="00924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03B"/>
  </w:style>
  <w:style w:type="paragraph" w:styleId="BalloonText">
    <w:name w:val="Balloon Text"/>
    <w:basedOn w:val="Normal"/>
    <w:link w:val="BalloonTextChar"/>
    <w:uiPriority w:val="99"/>
    <w:semiHidden/>
    <w:unhideWhenUsed/>
    <w:rsid w:val="000A4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Executive Summary</vt:lpstr>
    </vt:vector>
  </TitlesOfParts>
  <Company/>
  <LinksUpToDate>false</LinksUpToDate>
  <CharactersWithSpaces>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COA - PITC Pharma, Inc.</dc:creator>
  <cp:lastModifiedBy>COA</cp:lastModifiedBy>
  <cp:revision>6</cp:revision>
  <cp:lastPrinted>2016-06-28T08:06:00Z</cp:lastPrinted>
  <dcterms:created xsi:type="dcterms:W3CDTF">2016-06-28T09:08:00Z</dcterms:created>
  <dcterms:modified xsi:type="dcterms:W3CDTF">2016-06-30T07:42:00Z</dcterms:modified>
</cp:coreProperties>
</file>